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4E" w:rsidRDefault="00A928B0" w:rsidP="006B5E4E">
      <w:pPr>
        <w:spacing w:after="0" w:line="240" w:lineRule="auto"/>
        <w:jc w:val="center"/>
        <w:rPr>
          <w:rFonts w:ascii="Georgia" w:hAnsi="Georgia"/>
          <w:sz w:val="40"/>
          <w:szCs w:val="40"/>
          <w:lang w:val="da-DK"/>
        </w:rPr>
      </w:pPr>
      <w:r>
        <w:rPr>
          <w:rFonts w:asciiTheme="majorHAnsi" w:hAnsiTheme="majorHAnsi" w:cs="Times New Roman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601D7" wp14:editId="635160A2">
                <wp:simplePos x="0" y="0"/>
                <wp:positionH relativeFrom="margin">
                  <wp:posOffset>-561975</wp:posOffset>
                </wp:positionH>
                <wp:positionV relativeFrom="paragraph">
                  <wp:posOffset>-287656</wp:posOffset>
                </wp:positionV>
                <wp:extent cx="7038975" cy="9058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7038975" cy="9058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C9C83" id="Rectangle 1" o:spid="_x0000_s1026" style="position:absolute;margin-left:-44.25pt;margin-top:-22.65pt;width:554.25pt;height:713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ywpQIAAJ4FAAAOAAAAZHJzL2Uyb0RvYy54bWysVMFu2zAMvQ/YPwi6r3bSZm2NOkXQosWA&#10;bi3aDj0zshQbkEVNUuJkXz9KdtysK3YY5oMhiuQjH0Xy4nLbaraRzjdoSj45yjmTRmDVmFXJvz/f&#10;fDrjzAcwFWg0suQ76fnl/OOHi84Wcoo16ko6RiDGF50teR2CLbLMi1q24I/QSkNKha6FQKJbZZWD&#10;jtBbnU3z/HPWoausQyG9p9vrXsnnCV8pKcK9Ul4GpktOuYX0d+m/jP9sfgHFyoGtGzGkAf+QRQuN&#10;oaAj1DUEYGvX/AHVNsKhRxWOBLYZKtUImTgQm0n+hs1TDVYmLlQcb8cy+f8HK75tHhxrKno7zgy0&#10;9ESPVDQwKy3ZJJans74gqyf74AbJ05Etu69YkbUOtw52iftWuTbWgFixbSrxbiyx3AYm6PI0Pz47&#10;P51xJkh3ns/OpiQQbgbF3t06H24ltiweSu4onQQPmzsfetO9SYxm8KbRmu6h0IZ1JT+eEGQUPeqm&#10;isokxI6SV9qxDVAvhG0iR2EPrEjShnKJlCPJnrwPOy17+EepqFZEY9oH+B0ThJAmTHpVDZXsQ81y&#10;+gaOqa9jFomxNgQYkRUlOWIPAO9j9/wH++gqU5OPzvnfEuudR48UGU0YndvGoHsPQBOrIXJvvy9S&#10;X5pYryVWO2oLh/2IeStuGnq/O/DhARzNFE0f7YlwTz+lkd4JhxNnNbqf791He2p10nLW0YyW3P9Y&#10;g5Oc6S+GhuB8cnIShzoJJ7PTKQnuULM81Jh1e4X09NTolF06Rvug90flsH2hdbKIUUkFRlDskovg&#10;9sJV6HcHLSQhF4tkRoNsIdyZJysieKxq7M/n7Qs4OzRxoP7/hvt5huJNL/e20dPgYh1QNanRX+s6&#10;1JuWQGqcYWHFLXMoJ6vXtTr/BQAA//8DAFBLAwQUAAYACAAAACEAmOlMMOEAAAANAQAADwAAAGRy&#10;cy9kb3ducmV2LnhtbEyPTU/CQBCG7yb+h82YeIMtn2lqt0Q0PXkSUPA2dJe22p1tugsUfz3DSW/v&#10;ZJ68H+mit404mc7XjhSMhhEIQ4XTNZUKNut8EIPwAUlj48gouBgPi+z+LsVEuzO9m9MqlIJNyCeo&#10;oAqhTaT0RWUs+qFrDfHv4DqLgc+ulLrDM5vbRo6jaC4t1sQJFbbmpTLFz+poFezeloevLS0339OP&#10;+Tq/fL5ijr9KPT70z08ggunDHwy3+lwdMu60d0fSXjQKBnE8Y5TFdDYBcSMiTgSxZzWJR2OQWSr/&#10;r8iuAAAA//8DAFBLAQItABQABgAIAAAAIQC2gziS/gAAAOEBAAATAAAAAAAAAAAAAAAAAAAAAABb&#10;Q29udGVudF9UeXBlc10ueG1sUEsBAi0AFAAGAAgAAAAhADj9If/WAAAAlAEAAAsAAAAAAAAAAAAA&#10;AAAALwEAAF9yZWxzLy5yZWxzUEsBAi0AFAAGAAgAAAAhABrS/LClAgAAngUAAA4AAAAAAAAAAAAA&#10;AAAALgIAAGRycy9lMm9Eb2MueG1sUEsBAi0AFAAGAAgAAAAhAJjpTDDhAAAADQEAAA8AAAAAAAAA&#10;AAAAAAAA/wQAAGRycy9kb3ducmV2LnhtbFBLBQYAAAAABAAEAPMAAAANBgAAAAA=&#10;" filled="f" strokecolor="black [3213]" strokeweight=".25pt">
                <w10:wrap anchorx="margin"/>
              </v:rect>
            </w:pict>
          </mc:Fallback>
        </mc:AlternateContent>
      </w:r>
    </w:p>
    <w:p w:rsidR="006B5E4E" w:rsidRDefault="006B5E4E" w:rsidP="006B5E4E">
      <w:pPr>
        <w:spacing w:after="0" w:line="240" w:lineRule="auto"/>
        <w:jc w:val="center"/>
        <w:rPr>
          <w:rFonts w:ascii="Georgia" w:hAnsi="Georgia"/>
          <w:sz w:val="40"/>
          <w:szCs w:val="40"/>
          <w:lang w:val="da-DK"/>
        </w:rPr>
      </w:pPr>
    </w:p>
    <w:p w:rsidR="006B5E4E" w:rsidRDefault="006B5E4E" w:rsidP="006B5E4E">
      <w:pPr>
        <w:spacing w:after="0" w:line="240" w:lineRule="auto"/>
        <w:jc w:val="center"/>
        <w:rPr>
          <w:rFonts w:ascii="Georgia" w:hAnsi="Georgia"/>
          <w:sz w:val="40"/>
          <w:szCs w:val="40"/>
          <w:lang w:val="da-DK"/>
        </w:rPr>
      </w:pPr>
    </w:p>
    <w:p w:rsidR="00B85909" w:rsidRPr="00A928B0" w:rsidRDefault="00B85909" w:rsidP="00A928B0">
      <w:pPr>
        <w:spacing w:after="0" w:line="240" w:lineRule="auto"/>
        <w:ind w:left="1134"/>
        <w:rPr>
          <w:rFonts w:ascii="Georgia" w:hAnsi="Georgia"/>
          <w:b/>
          <w:i/>
          <w:color w:val="C00000"/>
          <w:sz w:val="40"/>
          <w:szCs w:val="40"/>
          <w:lang w:val="da-DK"/>
        </w:rPr>
      </w:pPr>
      <w:r w:rsidRPr="00A928B0">
        <w:rPr>
          <w:rFonts w:ascii="Georgia" w:hAnsi="Georgia"/>
          <w:b/>
          <w:i/>
          <w:color w:val="C00000"/>
          <w:sz w:val="40"/>
          <w:szCs w:val="40"/>
          <w:lang w:val="da-DK"/>
        </w:rPr>
        <w:t>Bilag 3</w:t>
      </w:r>
      <w:r w:rsidR="006B5E4E" w:rsidRPr="00A928B0">
        <w:rPr>
          <w:rFonts w:ascii="Georgia" w:hAnsi="Georgia"/>
          <w:b/>
          <w:i/>
          <w:color w:val="C00000"/>
          <w:sz w:val="40"/>
          <w:szCs w:val="40"/>
          <w:lang w:val="da-DK"/>
        </w:rPr>
        <w:t>B</w:t>
      </w:r>
    </w:p>
    <w:p w:rsidR="006B5E4E" w:rsidRPr="00A928B0" w:rsidRDefault="006B5E4E" w:rsidP="00A928B0">
      <w:pPr>
        <w:spacing w:after="0" w:line="240" w:lineRule="auto"/>
        <w:ind w:left="1134"/>
        <w:rPr>
          <w:rFonts w:ascii="Georgia" w:hAnsi="Georgia"/>
          <w:b/>
          <w:i/>
          <w:color w:val="C00000"/>
          <w:sz w:val="40"/>
          <w:szCs w:val="40"/>
          <w:lang w:val="da-DK"/>
        </w:rPr>
      </w:pPr>
    </w:p>
    <w:p w:rsidR="00B85909" w:rsidRPr="00A928B0" w:rsidRDefault="00B85909" w:rsidP="00A928B0">
      <w:pPr>
        <w:spacing w:after="0" w:line="240" w:lineRule="auto"/>
        <w:ind w:left="1134"/>
        <w:rPr>
          <w:rFonts w:ascii="Georgia" w:hAnsi="Georgia"/>
          <w:b/>
          <w:i/>
          <w:color w:val="C00000"/>
          <w:sz w:val="40"/>
          <w:szCs w:val="40"/>
          <w:lang w:val="da-DK"/>
        </w:rPr>
      </w:pPr>
      <w:r w:rsidRPr="00A928B0">
        <w:rPr>
          <w:rFonts w:ascii="Georgia" w:hAnsi="Georgia"/>
          <w:b/>
          <w:i/>
          <w:color w:val="C00000"/>
          <w:sz w:val="40"/>
          <w:szCs w:val="40"/>
          <w:lang w:val="da-DK"/>
        </w:rPr>
        <w:t>Prisbilag</w:t>
      </w:r>
    </w:p>
    <w:p w:rsidR="006B5E4E" w:rsidRPr="00A928B0" w:rsidRDefault="006B5E4E" w:rsidP="00A928B0">
      <w:pPr>
        <w:spacing w:after="0" w:line="240" w:lineRule="auto"/>
        <w:ind w:left="1134"/>
        <w:rPr>
          <w:rFonts w:ascii="Georgia" w:hAnsi="Georgia"/>
          <w:b/>
          <w:i/>
          <w:color w:val="C00000"/>
          <w:sz w:val="40"/>
          <w:szCs w:val="40"/>
          <w:lang w:val="da-DK"/>
        </w:rPr>
      </w:pPr>
    </w:p>
    <w:p w:rsidR="006B5E4E" w:rsidRPr="00A928B0" w:rsidRDefault="005F4581" w:rsidP="00A928B0">
      <w:pPr>
        <w:spacing w:after="0" w:line="240" w:lineRule="auto"/>
        <w:ind w:left="1134"/>
        <w:rPr>
          <w:rFonts w:ascii="Georgia" w:hAnsi="Georgia"/>
          <w:b/>
          <w:i/>
          <w:color w:val="C00000"/>
          <w:sz w:val="40"/>
          <w:szCs w:val="40"/>
          <w:lang w:val="da-DK"/>
        </w:rPr>
      </w:pPr>
      <w:r>
        <w:rPr>
          <w:rFonts w:ascii="Georgia" w:hAnsi="Georgia"/>
          <w:b/>
          <w:i/>
          <w:color w:val="C00000"/>
          <w:sz w:val="40"/>
          <w:szCs w:val="40"/>
          <w:lang w:val="da-DK"/>
        </w:rPr>
        <w:t>(</w:t>
      </w:r>
      <w:proofErr w:type="gramStart"/>
      <w:r>
        <w:rPr>
          <w:rFonts w:ascii="Georgia" w:hAnsi="Georgia"/>
          <w:b/>
          <w:i/>
          <w:color w:val="C00000"/>
          <w:sz w:val="40"/>
          <w:szCs w:val="40"/>
          <w:lang w:val="da-DK"/>
        </w:rPr>
        <w:t>delaftale</w:t>
      </w:r>
      <w:proofErr w:type="gramEnd"/>
      <w:r>
        <w:rPr>
          <w:rFonts w:ascii="Georgia" w:hAnsi="Georgia"/>
          <w:b/>
          <w:i/>
          <w:color w:val="C00000"/>
          <w:sz w:val="40"/>
          <w:szCs w:val="40"/>
          <w:lang w:val="da-DK"/>
        </w:rPr>
        <w:t xml:space="preserve"> 2-</w:t>
      </w:r>
      <w:r w:rsidR="00D61816" w:rsidRPr="00A928B0">
        <w:rPr>
          <w:rFonts w:ascii="Georgia" w:hAnsi="Georgia"/>
          <w:b/>
          <w:i/>
          <w:color w:val="C00000"/>
          <w:sz w:val="40"/>
          <w:szCs w:val="40"/>
          <w:lang w:val="da-DK"/>
        </w:rPr>
        <w:t>4</w:t>
      </w:r>
      <w:r w:rsidR="006B5E4E" w:rsidRPr="00A928B0">
        <w:rPr>
          <w:rFonts w:ascii="Georgia" w:hAnsi="Georgia"/>
          <w:b/>
          <w:i/>
          <w:color w:val="C00000"/>
          <w:sz w:val="40"/>
          <w:szCs w:val="40"/>
          <w:lang w:val="da-DK"/>
        </w:rPr>
        <w:t>)</w:t>
      </w:r>
    </w:p>
    <w:p w:rsidR="00D12C57" w:rsidRDefault="006B5E4E">
      <w:pPr>
        <w:rPr>
          <w:rFonts w:ascii="Georgia" w:hAnsi="Georgia"/>
          <w:sz w:val="20"/>
          <w:szCs w:val="20"/>
          <w:lang w:val="da-DK"/>
        </w:rPr>
      </w:pPr>
      <w:r>
        <w:rPr>
          <w:rFonts w:ascii="Georgia" w:hAnsi="Georgia"/>
          <w:sz w:val="20"/>
          <w:szCs w:val="20"/>
          <w:lang w:val="da-DK"/>
        </w:rPr>
        <w:br w:type="page"/>
      </w:r>
    </w:p>
    <w:p w:rsidR="006B5E4E" w:rsidRPr="000A502D" w:rsidRDefault="006B5E4E" w:rsidP="006E530A">
      <w:pPr>
        <w:pStyle w:val="Heading2"/>
        <w:rPr>
          <w:b/>
          <w:i/>
          <w:sz w:val="24"/>
          <w:szCs w:val="24"/>
          <w:lang w:val="da-DK"/>
        </w:rPr>
      </w:pPr>
      <w:r w:rsidRPr="000A502D">
        <w:rPr>
          <w:b/>
          <w:i/>
          <w:sz w:val="24"/>
          <w:szCs w:val="24"/>
          <w:lang w:val="da-DK"/>
        </w:rPr>
        <w:lastRenderedPageBreak/>
        <w:t>Udf</w:t>
      </w:r>
      <w:r w:rsidR="0072479C">
        <w:rPr>
          <w:b/>
          <w:i/>
          <w:sz w:val="24"/>
          <w:szCs w:val="24"/>
          <w:lang w:val="da-DK"/>
        </w:rPr>
        <w:t xml:space="preserve">yldning af </w:t>
      </w:r>
      <w:r w:rsidR="005F4581">
        <w:rPr>
          <w:b/>
          <w:i/>
          <w:sz w:val="24"/>
          <w:szCs w:val="24"/>
          <w:lang w:val="da-DK"/>
        </w:rPr>
        <w:t>s</w:t>
      </w:r>
      <w:r w:rsidR="0072479C">
        <w:rPr>
          <w:b/>
          <w:i/>
          <w:sz w:val="24"/>
          <w:szCs w:val="24"/>
          <w:lang w:val="da-DK"/>
        </w:rPr>
        <w:t>kema</w:t>
      </w:r>
      <w:r w:rsidR="00BD5BD3">
        <w:rPr>
          <w:b/>
          <w:i/>
          <w:sz w:val="24"/>
          <w:szCs w:val="24"/>
          <w:lang w:val="da-DK"/>
        </w:rPr>
        <w:t>: Å</w:t>
      </w:r>
      <w:r w:rsidR="0072479C">
        <w:rPr>
          <w:b/>
          <w:i/>
          <w:sz w:val="24"/>
          <w:szCs w:val="24"/>
          <w:lang w:val="da-DK"/>
        </w:rPr>
        <w:t xml:space="preserve">rlige omkostninger ved forvaltning af </w:t>
      </w:r>
      <w:r w:rsidR="00612910">
        <w:rPr>
          <w:b/>
          <w:i/>
          <w:sz w:val="24"/>
          <w:szCs w:val="24"/>
          <w:lang w:val="da-DK"/>
        </w:rPr>
        <w:t xml:space="preserve">ca. </w:t>
      </w:r>
      <w:r w:rsidR="0072479C">
        <w:rPr>
          <w:b/>
          <w:i/>
          <w:sz w:val="24"/>
          <w:szCs w:val="24"/>
          <w:lang w:val="da-DK"/>
        </w:rPr>
        <w:t>1 mia. kr.</w:t>
      </w:r>
    </w:p>
    <w:p w:rsidR="006E530A" w:rsidRDefault="006E530A" w:rsidP="006B5E4E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</w:p>
    <w:p w:rsidR="006B5E4E" w:rsidRDefault="000A502D" w:rsidP="006B5E4E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  <w:r>
        <w:rPr>
          <w:rFonts w:ascii="Georgia" w:hAnsi="Georgia"/>
          <w:sz w:val="20"/>
          <w:szCs w:val="20"/>
          <w:lang w:val="da-DK"/>
        </w:rPr>
        <w:t>Nedenstående</w:t>
      </w:r>
      <w:r w:rsidR="00DD5505">
        <w:rPr>
          <w:rFonts w:ascii="Georgia" w:hAnsi="Georgia"/>
          <w:sz w:val="20"/>
          <w:szCs w:val="20"/>
          <w:lang w:val="da-DK"/>
        </w:rPr>
        <w:t xml:space="preserve"> s</w:t>
      </w:r>
      <w:r w:rsidR="00B61E74" w:rsidRPr="00B61E74">
        <w:rPr>
          <w:rFonts w:ascii="Georgia" w:hAnsi="Georgia"/>
          <w:i/>
          <w:sz w:val="20"/>
          <w:szCs w:val="20"/>
          <w:lang w:val="da-DK"/>
        </w:rPr>
        <w:t>kema 1</w:t>
      </w:r>
      <w:r w:rsidR="006B5E4E" w:rsidRPr="006B5E4E">
        <w:rPr>
          <w:rFonts w:ascii="Georgia" w:hAnsi="Georgia"/>
          <w:sz w:val="20"/>
          <w:szCs w:val="20"/>
          <w:lang w:val="da-DK"/>
        </w:rPr>
        <w:t xml:space="preserve"> skal udfyldes på bag</w:t>
      </w:r>
      <w:r w:rsidR="006E530A">
        <w:rPr>
          <w:rFonts w:ascii="Georgia" w:hAnsi="Georgia"/>
          <w:sz w:val="20"/>
          <w:szCs w:val="20"/>
          <w:lang w:val="da-DK"/>
        </w:rPr>
        <w:t>grund af den portefølje, som Tilbudsgiver har opstillet i sit</w:t>
      </w:r>
      <w:r w:rsidR="00C709C7">
        <w:rPr>
          <w:rFonts w:ascii="Georgia" w:hAnsi="Georgia"/>
          <w:sz w:val="20"/>
          <w:szCs w:val="20"/>
          <w:lang w:val="da-DK"/>
        </w:rPr>
        <w:t xml:space="preserve"> </w:t>
      </w:r>
      <w:r w:rsidR="006E530A">
        <w:rPr>
          <w:rFonts w:ascii="Georgia" w:hAnsi="Georgia"/>
          <w:sz w:val="20"/>
          <w:szCs w:val="20"/>
          <w:lang w:val="da-DK"/>
        </w:rPr>
        <w:t>t</w:t>
      </w:r>
      <w:r w:rsidR="006B5E4E" w:rsidRPr="006B5E4E">
        <w:rPr>
          <w:rFonts w:ascii="Georgia" w:hAnsi="Georgia"/>
          <w:sz w:val="20"/>
          <w:szCs w:val="20"/>
          <w:lang w:val="da-DK"/>
        </w:rPr>
        <w:t>ilbud</w:t>
      </w:r>
      <w:r w:rsidR="005F4581">
        <w:rPr>
          <w:rFonts w:ascii="Georgia" w:hAnsi="Georgia"/>
          <w:sz w:val="20"/>
          <w:szCs w:val="20"/>
          <w:lang w:val="da-DK"/>
        </w:rPr>
        <w:t>,</w:t>
      </w:r>
      <w:r w:rsidR="006B5E4E" w:rsidRPr="006B5E4E">
        <w:rPr>
          <w:rFonts w:ascii="Georgia" w:hAnsi="Georgia"/>
          <w:sz w:val="20"/>
          <w:szCs w:val="20"/>
          <w:lang w:val="da-DK"/>
        </w:rPr>
        <w:t xml:space="preserve"> og baseret på den aktivvæ</w:t>
      </w:r>
      <w:r w:rsidR="00C709C7">
        <w:rPr>
          <w:rFonts w:ascii="Georgia" w:hAnsi="Georgia"/>
          <w:sz w:val="20"/>
          <w:szCs w:val="20"/>
          <w:lang w:val="da-DK"/>
        </w:rPr>
        <w:t>gtning, der ligger til grund i T</w:t>
      </w:r>
      <w:r w:rsidR="006B5E4E" w:rsidRPr="006B5E4E">
        <w:rPr>
          <w:rFonts w:ascii="Georgia" w:hAnsi="Georgia"/>
          <w:sz w:val="20"/>
          <w:szCs w:val="20"/>
          <w:lang w:val="da-DK"/>
        </w:rPr>
        <w:t>ilbud</w:t>
      </w:r>
      <w:r w:rsidR="006E530A">
        <w:rPr>
          <w:rFonts w:ascii="Georgia" w:hAnsi="Georgia"/>
          <w:sz w:val="20"/>
          <w:szCs w:val="20"/>
          <w:lang w:val="da-DK"/>
        </w:rPr>
        <w:t>sgivers tilbud</w:t>
      </w:r>
      <w:r w:rsidR="00B61E74">
        <w:rPr>
          <w:rFonts w:ascii="Georgia" w:hAnsi="Georgia"/>
          <w:sz w:val="20"/>
          <w:szCs w:val="20"/>
          <w:lang w:val="da-DK"/>
        </w:rPr>
        <w:t>, jf. bilag 2B</w:t>
      </w:r>
      <w:r w:rsidR="006E530A">
        <w:rPr>
          <w:rFonts w:ascii="Georgia" w:hAnsi="Georgia"/>
          <w:sz w:val="20"/>
          <w:szCs w:val="20"/>
          <w:lang w:val="da-DK"/>
        </w:rPr>
        <w:t>. Endvidere skal Til</w:t>
      </w:r>
      <w:r w:rsidR="006B5E4E" w:rsidRPr="006B5E4E">
        <w:rPr>
          <w:rFonts w:ascii="Georgia" w:hAnsi="Georgia"/>
          <w:sz w:val="20"/>
          <w:szCs w:val="20"/>
          <w:lang w:val="da-DK"/>
        </w:rPr>
        <w:t>budsgiver basere sit tilbud på, at der i alt skal forvaltes midler for</w:t>
      </w:r>
      <w:r w:rsidR="00612910">
        <w:rPr>
          <w:rFonts w:ascii="Georgia" w:hAnsi="Georgia"/>
          <w:sz w:val="20"/>
          <w:szCs w:val="20"/>
          <w:lang w:val="da-DK"/>
        </w:rPr>
        <w:t xml:space="preserve"> ca.</w:t>
      </w:r>
      <w:r w:rsidR="006B5E4E" w:rsidRPr="006B5E4E">
        <w:rPr>
          <w:rFonts w:ascii="Georgia" w:hAnsi="Georgia"/>
          <w:sz w:val="20"/>
          <w:szCs w:val="20"/>
          <w:lang w:val="da-DK"/>
        </w:rPr>
        <w:t xml:space="preserve"> </w:t>
      </w:r>
      <w:r w:rsidRPr="0072479C">
        <w:rPr>
          <w:rFonts w:ascii="Georgia" w:hAnsi="Georgia"/>
          <w:b/>
          <w:i/>
          <w:sz w:val="20"/>
          <w:szCs w:val="20"/>
          <w:u w:val="single"/>
          <w:lang w:val="da-DK"/>
        </w:rPr>
        <w:t xml:space="preserve">1 mia. </w:t>
      </w:r>
      <w:r w:rsidR="006B5E4E" w:rsidRPr="0072479C">
        <w:rPr>
          <w:rFonts w:ascii="Georgia" w:hAnsi="Georgia"/>
          <w:b/>
          <w:i/>
          <w:sz w:val="20"/>
          <w:szCs w:val="20"/>
          <w:u w:val="single"/>
          <w:lang w:val="da-DK"/>
        </w:rPr>
        <w:t>kr</w:t>
      </w:r>
      <w:r w:rsidR="006B5E4E" w:rsidRPr="006B5E4E">
        <w:rPr>
          <w:rFonts w:ascii="Georgia" w:hAnsi="Georgia"/>
          <w:sz w:val="20"/>
          <w:szCs w:val="20"/>
          <w:lang w:val="da-DK"/>
        </w:rPr>
        <w:t xml:space="preserve">. Alle priser skal opgives </w:t>
      </w:r>
      <w:r w:rsidR="00C709C7">
        <w:rPr>
          <w:rFonts w:ascii="Georgia" w:hAnsi="Georgia"/>
          <w:sz w:val="20"/>
          <w:szCs w:val="20"/>
          <w:lang w:val="da-DK"/>
        </w:rPr>
        <w:t>inklusiv</w:t>
      </w:r>
      <w:r w:rsidR="005F4581">
        <w:rPr>
          <w:rFonts w:ascii="Georgia" w:hAnsi="Georgia"/>
          <w:sz w:val="20"/>
          <w:szCs w:val="20"/>
          <w:lang w:val="da-DK"/>
        </w:rPr>
        <w:t>e</w:t>
      </w:r>
      <w:r w:rsidR="006B5E4E" w:rsidRPr="006B5E4E">
        <w:rPr>
          <w:rFonts w:ascii="Georgia" w:hAnsi="Georgia"/>
          <w:sz w:val="20"/>
          <w:szCs w:val="20"/>
          <w:lang w:val="da-DK"/>
        </w:rPr>
        <w:t xml:space="preserve"> moms og inklusiv</w:t>
      </w:r>
      <w:r w:rsidR="005F4581">
        <w:rPr>
          <w:rFonts w:ascii="Georgia" w:hAnsi="Georgia"/>
          <w:sz w:val="20"/>
          <w:szCs w:val="20"/>
          <w:lang w:val="da-DK"/>
        </w:rPr>
        <w:t>e</w:t>
      </w:r>
      <w:r w:rsidR="006B5E4E" w:rsidRPr="006B5E4E">
        <w:rPr>
          <w:rFonts w:ascii="Georgia" w:hAnsi="Georgia"/>
          <w:sz w:val="20"/>
          <w:szCs w:val="20"/>
          <w:lang w:val="da-DK"/>
        </w:rPr>
        <w:t xml:space="preserve"> eventuelle afgifter.</w:t>
      </w:r>
    </w:p>
    <w:p w:rsidR="00183E89" w:rsidRDefault="00183E89" w:rsidP="006B5E4E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  <w:bookmarkStart w:id="0" w:name="_GoBack"/>
      <w:bookmarkEnd w:id="0"/>
    </w:p>
    <w:p w:rsidR="006E530A" w:rsidRPr="00B61E74" w:rsidRDefault="00B61E74" w:rsidP="006B5E4E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  <w:r w:rsidRPr="00B61E74">
        <w:rPr>
          <w:rFonts w:ascii="Georgia" w:hAnsi="Georgia"/>
          <w:sz w:val="20"/>
          <w:szCs w:val="20"/>
          <w:lang w:val="da-DK"/>
        </w:rPr>
        <w:t>Såfremt et eller flere felter ikke er udfyldt</w:t>
      </w:r>
      <w:r w:rsidR="005F4581">
        <w:rPr>
          <w:rFonts w:ascii="Georgia" w:hAnsi="Georgia"/>
          <w:sz w:val="20"/>
          <w:szCs w:val="20"/>
          <w:lang w:val="da-DK"/>
        </w:rPr>
        <w:t>,</w:t>
      </w:r>
      <w:r w:rsidRPr="00B61E74">
        <w:rPr>
          <w:rFonts w:ascii="Georgia" w:hAnsi="Georgia"/>
          <w:sz w:val="20"/>
          <w:szCs w:val="20"/>
          <w:lang w:val="da-DK"/>
        </w:rPr>
        <w:t xml:space="preserve"> lægges det i tilbudsvurderingen til grund, at den tilbudte omkostning er nul. </w:t>
      </w:r>
      <w:r>
        <w:rPr>
          <w:rFonts w:ascii="Georgia" w:hAnsi="Georgia"/>
          <w:sz w:val="20"/>
          <w:szCs w:val="20"/>
          <w:lang w:val="da-DK"/>
        </w:rPr>
        <w:t>Det bemærkes, at såfremt dette er tilfældet, er Tilbudsgiver kontraktuelt forpligtet til at levere den pågældende ydelse uden beregning.</w:t>
      </w:r>
    </w:p>
    <w:p w:rsidR="00B61E74" w:rsidRPr="006B5E4E" w:rsidRDefault="00B61E74" w:rsidP="006B5E4E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</w:p>
    <w:p w:rsidR="000A502D" w:rsidRDefault="006E530A" w:rsidP="006B5E4E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  <w:r>
        <w:rPr>
          <w:rFonts w:ascii="Georgia" w:hAnsi="Georgia"/>
          <w:sz w:val="20"/>
          <w:szCs w:val="20"/>
          <w:lang w:val="da-DK"/>
        </w:rPr>
        <w:t xml:space="preserve">I </w:t>
      </w:r>
      <w:r w:rsidRPr="00C709C7">
        <w:rPr>
          <w:rFonts w:ascii="Georgia" w:hAnsi="Georgia"/>
          <w:i/>
          <w:sz w:val="20"/>
          <w:szCs w:val="20"/>
          <w:lang w:val="da-DK"/>
        </w:rPr>
        <w:t>skema</w:t>
      </w:r>
      <w:r w:rsidR="00BD5BD3">
        <w:rPr>
          <w:rFonts w:ascii="Georgia" w:hAnsi="Georgia"/>
          <w:i/>
          <w:sz w:val="20"/>
          <w:szCs w:val="20"/>
          <w:lang w:val="da-DK"/>
        </w:rPr>
        <w:t xml:space="preserve">et </w:t>
      </w:r>
      <w:r>
        <w:rPr>
          <w:rFonts w:ascii="Georgia" w:hAnsi="Georgia"/>
          <w:sz w:val="20"/>
          <w:szCs w:val="20"/>
          <w:lang w:val="da-DK"/>
        </w:rPr>
        <w:t>bedes T</w:t>
      </w:r>
      <w:r w:rsidR="006B5E4E" w:rsidRPr="006B5E4E">
        <w:rPr>
          <w:rFonts w:ascii="Georgia" w:hAnsi="Georgia"/>
          <w:sz w:val="20"/>
          <w:szCs w:val="20"/>
          <w:lang w:val="da-DK"/>
        </w:rPr>
        <w:t>ilbudsgiver oplyse sine årlige priser for de oplistede ydelser</w:t>
      </w:r>
      <w:r>
        <w:rPr>
          <w:rFonts w:ascii="Georgia" w:hAnsi="Georgia"/>
          <w:sz w:val="20"/>
          <w:szCs w:val="20"/>
          <w:lang w:val="da-DK"/>
        </w:rPr>
        <w:t>.</w:t>
      </w:r>
      <w:r w:rsidR="006B5E4E" w:rsidRPr="006B5E4E">
        <w:rPr>
          <w:rFonts w:ascii="Georgia" w:hAnsi="Georgia"/>
          <w:sz w:val="20"/>
          <w:szCs w:val="20"/>
          <w:lang w:val="da-DK"/>
        </w:rPr>
        <w:t xml:space="preserve"> </w:t>
      </w:r>
      <w:r w:rsidR="00B61E74">
        <w:rPr>
          <w:rFonts w:ascii="Georgia" w:hAnsi="Georgia"/>
          <w:sz w:val="20"/>
          <w:szCs w:val="20"/>
          <w:lang w:val="da-DK"/>
        </w:rPr>
        <w:t>Se eventuelt nedenstående udfyldningsvejledning.</w:t>
      </w:r>
    </w:p>
    <w:p w:rsidR="0072479C" w:rsidRDefault="0072479C" w:rsidP="006B5E4E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</w:p>
    <w:p w:rsidR="000A502D" w:rsidRDefault="000A502D" w:rsidP="006B5E4E">
      <w:pPr>
        <w:spacing w:after="0" w:line="240" w:lineRule="auto"/>
        <w:rPr>
          <w:rFonts w:ascii="Georgia" w:hAnsi="Georgia"/>
          <w:sz w:val="20"/>
          <w:szCs w:val="20"/>
          <w:lang w:val="da-DK"/>
        </w:rPr>
      </w:pPr>
      <w:r w:rsidRPr="000A502D">
        <w:rPr>
          <w:rFonts w:ascii="Georgia" w:hAnsi="Georgia"/>
          <w:i/>
          <w:sz w:val="20"/>
          <w:szCs w:val="20"/>
          <w:lang w:val="da-DK"/>
        </w:rPr>
        <w:t>Skema</w:t>
      </w:r>
      <w:r w:rsidR="00BD5BD3">
        <w:rPr>
          <w:rFonts w:ascii="Georgia" w:hAnsi="Georgia"/>
          <w:i/>
          <w:sz w:val="20"/>
          <w:szCs w:val="20"/>
          <w:lang w:val="da-DK"/>
        </w:rPr>
        <w:t>: Å</w:t>
      </w:r>
      <w:r w:rsidRPr="000A502D">
        <w:rPr>
          <w:rFonts w:ascii="Georgia" w:hAnsi="Georgia"/>
          <w:i/>
          <w:sz w:val="20"/>
          <w:szCs w:val="20"/>
          <w:lang w:val="da-DK"/>
        </w:rPr>
        <w:t xml:space="preserve">rlige </w:t>
      </w:r>
      <w:r>
        <w:rPr>
          <w:rFonts w:ascii="Georgia" w:hAnsi="Georgia"/>
          <w:i/>
          <w:sz w:val="20"/>
          <w:szCs w:val="20"/>
          <w:lang w:val="da-DK"/>
        </w:rPr>
        <w:t>omkostninger</w:t>
      </w:r>
      <w:r w:rsidRPr="000A502D">
        <w:rPr>
          <w:rFonts w:ascii="Georgia" w:hAnsi="Georgia"/>
          <w:i/>
          <w:sz w:val="20"/>
          <w:szCs w:val="20"/>
          <w:lang w:val="da-DK"/>
        </w:rPr>
        <w:t xml:space="preserve"> ved forvaltning af </w:t>
      </w:r>
      <w:r w:rsidR="00612910">
        <w:rPr>
          <w:rFonts w:ascii="Georgia" w:hAnsi="Georgia"/>
          <w:i/>
          <w:sz w:val="20"/>
          <w:szCs w:val="20"/>
          <w:lang w:val="da-DK"/>
        </w:rPr>
        <w:t xml:space="preserve">ca. </w:t>
      </w:r>
      <w:r w:rsidRPr="000A502D">
        <w:rPr>
          <w:rFonts w:ascii="Georgia" w:hAnsi="Georgia"/>
          <w:i/>
          <w:sz w:val="20"/>
          <w:szCs w:val="20"/>
          <w:lang w:val="da-DK"/>
        </w:rPr>
        <w:t>1 mia. kr.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DD5505" w:rsidRPr="00A43D2B" w:rsidTr="00B80544">
        <w:tc>
          <w:tcPr>
            <w:tcW w:w="9350" w:type="dxa"/>
            <w:gridSpan w:val="2"/>
            <w:shd w:val="clear" w:color="auto" w:fill="BFBFBF" w:themeFill="background1" w:themeFillShade="BF"/>
          </w:tcPr>
          <w:p w:rsidR="00DD5505" w:rsidRPr="00A43D2B" w:rsidRDefault="00DD5505" w:rsidP="00B8054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da-DK"/>
              </w:rPr>
            </w:pPr>
          </w:p>
          <w:p w:rsidR="00DD5505" w:rsidRPr="00A43D2B" w:rsidRDefault="00DD5505" w:rsidP="00B8054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da-DK"/>
              </w:rPr>
            </w:pPr>
            <w:r w:rsidRPr="00A43D2B">
              <w:rPr>
                <w:rFonts w:asciiTheme="majorHAnsi" w:hAnsiTheme="majorHAnsi"/>
                <w:b/>
                <w:sz w:val="18"/>
                <w:szCs w:val="18"/>
                <w:lang w:val="da-DK"/>
              </w:rPr>
              <w:t>Årlige omkostninger for kapitalforvaltning</w:t>
            </w:r>
          </w:p>
          <w:p w:rsidR="00DD5505" w:rsidRPr="00A43D2B" w:rsidRDefault="00DD5505" w:rsidP="00B8054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da-DK"/>
              </w:rPr>
            </w:pPr>
          </w:p>
        </w:tc>
      </w:tr>
      <w:tr w:rsidR="00DD5505" w:rsidRPr="00A43D2B" w:rsidTr="003F3B75">
        <w:trPr>
          <w:trHeight w:val="275"/>
        </w:trPr>
        <w:tc>
          <w:tcPr>
            <w:tcW w:w="4106" w:type="dxa"/>
            <w:vMerge w:val="restart"/>
            <w:shd w:val="clear" w:color="auto" w:fill="D9D9D9" w:themeFill="background1" w:themeFillShade="D9"/>
          </w:tcPr>
          <w:p w:rsidR="00DD5505" w:rsidRPr="00A43D2B" w:rsidRDefault="00DD5505" w:rsidP="00B80544">
            <w:pPr>
              <w:pStyle w:val="Default"/>
              <w:rPr>
                <w:rFonts w:asciiTheme="majorHAnsi" w:hAnsiTheme="majorHAnsi"/>
                <w:b/>
                <w:sz w:val="18"/>
                <w:szCs w:val="18"/>
                <w:lang w:val="da-DK"/>
              </w:rPr>
            </w:pPr>
            <w:r w:rsidRPr="00A43D2B">
              <w:rPr>
                <w:rFonts w:asciiTheme="majorHAnsi" w:hAnsiTheme="majorHAnsi"/>
                <w:b/>
                <w:sz w:val="18"/>
                <w:szCs w:val="18"/>
                <w:lang w:val="da-DK"/>
              </w:rPr>
              <w:t xml:space="preserve">1) Fast </w:t>
            </w:r>
            <w:proofErr w:type="spellStart"/>
            <w:r w:rsidRPr="00A43D2B">
              <w:rPr>
                <w:rFonts w:asciiTheme="majorHAnsi" w:hAnsiTheme="majorHAnsi"/>
                <w:b/>
                <w:sz w:val="18"/>
                <w:szCs w:val="18"/>
                <w:lang w:val="da-DK"/>
              </w:rPr>
              <w:t>fee</w:t>
            </w:r>
            <w:proofErr w:type="spellEnd"/>
            <w:r w:rsidRPr="00A43D2B">
              <w:rPr>
                <w:rFonts w:asciiTheme="majorHAnsi" w:hAnsiTheme="majorHAnsi"/>
                <w:b/>
                <w:sz w:val="18"/>
                <w:szCs w:val="18"/>
                <w:lang w:val="da-DK"/>
              </w:rPr>
              <w:t xml:space="preserve"> på obligationstype </w:t>
            </w:r>
          </w:p>
          <w:p w:rsidR="00DD5505" w:rsidRPr="00A43D2B" w:rsidRDefault="00DD5505" w:rsidP="00B80544">
            <w:pPr>
              <w:pStyle w:val="Default"/>
              <w:rPr>
                <w:rFonts w:asciiTheme="majorHAnsi" w:hAnsiTheme="majorHAnsi"/>
                <w:b/>
                <w:sz w:val="18"/>
                <w:szCs w:val="18"/>
                <w:lang w:val="da-DK"/>
              </w:rPr>
            </w:pPr>
          </w:p>
          <w:p w:rsidR="00DD5505" w:rsidRPr="00A43D2B" w:rsidRDefault="00DD5505" w:rsidP="00B80544">
            <w:pPr>
              <w:pStyle w:val="Default"/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A43D2B">
              <w:rPr>
                <w:rFonts w:asciiTheme="majorHAnsi" w:hAnsiTheme="majorHAnsi"/>
                <w:i/>
                <w:iCs/>
                <w:sz w:val="18"/>
                <w:szCs w:val="18"/>
                <w:lang w:val="da-DK"/>
              </w:rPr>
              <w:t xml:space="preserve">Fast </w:t>
            </w:r>
            <w:proofErr w:type="spellStart"/>
            <w:r w:rsidRPr="00A43D2B">
              <w:rPr>
                <w:rFonts w:asciiTheme="majorHAnsi" w:hAnsiTheme="majorHAnsi"/>
                <w:i/>
                <w:iCs/>
                <w:sz w:val="18"/>
                <w:szCs w:val="18"/>
                <w:lang w:val="da-DK"/>
              </w:rPr>
              <w:t>fee</w:t>
            </w:r>
            <w:proofErr w:type="spellEnd"/>
            <w:r w:rsidR="005F4581">
              <w:rPr>
                <w:rFonts w:asciiTheme="majorHAnsi" w:hAnsiTheme="majorHAnsi"/>
                <w:i/>
                <w:iCs/>
                <w:sz w:val="18"/>
                <w:szCs w:val="18"/>
                <w:lang w:val="da-DK"/>
              </w:rPr>
              <w:t xml:space="preserve"> </w:t>
            </w:r>
            <w:r w:rsidRPr="00A43D2B">
              <w:rPr>
                <w:rFonts w:asciiTheme="majorHAnsi" w:hAnsiTheme="majorHAnsi"/>
                <w:i/>
                <w:iCs/>
                <w:sz w:val="18"/>
                <w:szCs w:val="18"/>
                <w:lang w:val="da-DK"/>
              </w:rPr>
              <w:t xml:space="preserve">struktur </w:t>
            </w:r>
          </w:p>
          <w:p w:rsidR="00DD5505" w:rsidRPr="003F3B75" w:rsidRDefault="00DD5505" w:rsidP="003F3B75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i/>
                <w:sz w:val="18"/>
                <w:szCs w:val="18"/>
                <w:lang w:val="da-DK"/>
              </w:rPr>
            </w:pPr>
            <w:proofErr w:type="gramStart"/>
            <w:r w:rsidRPr="003F3B75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statsobligationer</w:t>
            </w:r>
            <w:proofErr w:type="gramEnd"/>
          </w:p>
          <w:p w:rsidR="00DD5505" w:rsidRPr="003F3B75" w:rsidRDefault="00DD5505" w:rsidP="003F3B75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i/>
                <w:sz w:val="18"/>
                <w:szCs w:val="18"/>
                <w:lang w:val="da-DK"/>
              </w:rPr>
            </w:pPr>
            <w:proofErr w:type="gramStart"/>
            <w:r w:rsidRPr="003F3B75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realkreditobligationer</w:t>
            </w:r>
            <w:proofErr w:type="gramEnd"/>
          </w:p>
          <w:p w:rsidR="00DD5505" w:rsidRPr="003F3B75" w:rsidRDefault="00DD5505" w:rsidP="003F3B75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i/>
                <w:sz w:val="18"/>
                <w:szCs w:val="18"/>
                <w:lang w:val="da-DK"/>
              </w:rPr>
            </w:pPr>
            <w:proofErr w:type="gramStart"/>
            <w:r w:rsidRPr="003F3B75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erhvervsobligationer</w:t>
            </w:r>
            <w:proofErr w:type="gramEnd"/>
          </w:p>
          <w:p w:rsidR="00DD5505" w:rsidRPr="00A43D2B" w:rsidRDefault="00DD5505" w:rsidP="00B80544">
            <w:pPr>
              <w:pStyle w:val="Defaul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  <w:p w:rsidR="00DD5505" w:rsidRPr="00A43D2B" w:rsidRDefault="00DD5505" w:rsidP="00DD5505">
            <w:pPr>
              <w:pStyle w:val="Defaul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DD5505" w:rsidRPr="00A43D2B" w:rsidRDefault="00DD5505" w:rsidP="00B80544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A43D2B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Maksimal å</w:t>
            </w:r>
            <w:r w:rsidR="00701695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rlig omkostning (procent</w:t>
            </w:r>
            <w:r w:rsidRPr="00A43D2B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)</w:t>
            </w:r>
          </w:p>
        </w:tc>
      </w:tr>
      <w:tr w:rsidR="00DD5505" w:rsidRPr="00A43D2B" w:rsidTr="003F3B75">
        <w:trPr>
          <w:trHeight w:val="513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DD5505" w:rsidRPr="00A43D2B" w:rsidRDefault="00DD5505" w:rsidP="00B80544">
            <w:pPr>
              <w:pStyle w:val="Default"/>
              <w:rPr>
                <w:rFonts w:asciiTheme="majorHAnsi" w:hAnsiTheme="majorHAnsi"/>
                <w:b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</w:tcPr>
          <w:p w:rsidR="00DD5505" w:rsidRPr="00A43D2B" w:rsidRDefault="00DD5505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</w:tr>
      <w:tr w:rsidR="00DD5505" w:rsidRPr="00A43D2B" w:rsidTr="003F3B75">
        <w:trPr>
          <w:trHeight w:val="332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DD5505" w:rsidRPr="00A43D2B" w:rsidRDefault="00DD5505" w:rsidP="00DD5505">
            <w:pPr>
              <w:pStyle w:val="Default"/>
              <w:rPr>
                <w:rFonts w:asciiTheme="majorHAnsi" w:hAnsiTheme="majorHAnsi"/>
                <w:b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DD5505" w:rsidRPr="00A43D2B" w:rsidRDefault="00DD5505" w:rsidP="00121BDF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A43D2B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Maksimal årlig omkostning (</w:t>
            </w:r>
            <w:r w:rsidR="00121BDF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DKK</w:t>
            </w:r>
            <w:r w:rsidRPr="00A43D2B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)</w:t>
            </w:r>
          </w:p>
        </w:tc>
      </w:tr>
      <w:tr w:rsidR="00DD5505" w:rsidRPr="00A43D2B" w:rsidTr="003F3B75">
        <w:trPr>
          <w:trHeight w:val="332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DD5505" w:rsidRPr="00A43D2B" w:rsidRDefault="00DD5505" w:rsidP="00DD5505">
            <w:pPr>
              <w:pStyle w:val="Default"/>
              <w:rPr>
                <w:rFonts w:asciiTheme="majorHAnsi" w:hAnsiTheme="majorHAnsi"/>
                <w:b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</w:tcPr>
          <w:p w:rsidR="00DD5505" w:rsidRPr="00A43D2B" w:rsidRDefault="00DD5505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</w:tr>
      <w:tr w:rsidR="003F3B75" w:rsidRPr="002F61EC" w:rsidTr="003F3B75">
        <w:trPr>
          <w:trHeight w:val="257"/>
        </w:trPr>
        <w:tc>
          <w:tcPr>
            <w:tcW w:w="4106" w:type="dxa"/>
            <w:vMerge w:val="restart"/>
            <w:shd w:val="clear" w:color="auto" w:fill="D9D9D9" w:themeFill="background1" w:themeFillShade="D9"/>
          </w:tcPr>
          <w:p w:rsidR="003F3B75" w:rsidRPr="00A43D2B" w:rsidRDefault="003F3B75" w:rsidP="00DD5505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  <w:lang w:val="da-DK"/>
              </w:rPr>
            </w:pPr>
            <w:r w:rsidRPr="00A43D2B">
              <w:rPr>
                <w:rFonts w:asciiTheme="majorHAnsi" w:hAnsiTheme="majorHAnsi"/>
                <w:b/>
                <w:bCs/>
                <w:sz w:val="18"/>
                <w:szCs w:val="18"/>
                <w:lang w:val="da-DK"/>
              </w:rPr>
              <w:t xml:space="preserve">2) Performance </w:t>
            </w:r>
            <w:proofErr w:type="spellStart"/>
            <w:r w:rsidRPr="00A43D2B">
              <w:rPr>
                <w:rFonts w:asciiTheme="majorHAnsi" w:hAnsiTheme="majorHAnsi"/>
                <w:b/>
                <w:bCs/>
                <w:sz w:val="18"/>
                <w:szCs w:val="18"/>
                <w:lang w:val="da-DK"/>
              </w:rPr>
              <w:t>fee</w:t>
            </w:r>
            <w:proofErr w:type="spellEnd"/>
            <w:r w:rsidRPr="00A43D2B">
              <w:rPr>
                <w:rFonts w:asciiTheme="majorHAnsi" w:hAnsiTheme="majorHAnsi"/>
                <w:b/>
                <w:bCs/>
                <w:sz w:val="18"/>
                <w:szCs w:val="18"/>
                <w:lang w:val="da-DK"/>
              </w:rPr>
              <w:t xml:space="preserve"> </w:t>
            </w:r>
          </w:p>
          <w:p w:rsidR="003F3B75" w:rsidRPr="00A43D2B" w:rsidRDefault="003F3B75" w:rsidP="00DD5505">
            <w:pPr>
              <w:pStyle w:val="Defaul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  <w:p w:rsidR="003F3B75" w:rsidRPr="00A43D2B" w:rsidRDefault="003F3B75" w:rsidP="00DD5505">
            <w:pPr>
              <w:pStyle w:val="Defaul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  <w:p w:rsidR="003F3B75" w:rsidRPr="00A43D2B" w:rsidRDefault="003F3B75" w:rsidP="00DD5505">
            <w:pPr>
              <w:pStyle w:val="Defaul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3F3B75" w:rsidRPr="003F3B75" w:rsidRDefault="003F3B75" w:rsidP="003F3B75">
            <w:pPr>
              <w:pStyle w:val="Default"/>
              <w:rPr>
                <w:rFonts w:asciiTheme="majorHAnsi" w:hAnsiTheme="majorHAnsi"/>
                <w:i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Andel (procent</w:t>
            </w:r>
            <w:r w:rsidRPr="00A43D2B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 xml:space="preserve">) af merafkast over </w:t>
            </w:r>
            <w:proofErr w:type="spellStart"/>
            <w:r w:rsidRPr="00A43D2B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benchmark</w:t>
            </w:r>
            <w:proofErr w:type="spellEnd"/>
            <w:r w:rsidRPr="00A43D2B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 xml:space="preserve"> fastsat i investeringspolitik</w:t>
            </w:r>
          </w:p>
        </w:tc>
      </w:tr>
      <w:tr w:rsidR="003F3B75" w:rsidRPr="002F61EC" w:rsidTr="003F3B75">
        <w:trPr>
          <w:trHeight w:val="617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3F3B75" w:rsidRPr="00A43D2B" w:rsidRDefault="003F3B75" w:rsidP="00DD5505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</w:tcPr>
          <w:p w:rsidR="003F3B75" w:rsidRDefault="003F3B75" w:rsidP="00DD5505">
            <w:pPr>
              <w:pStyle w:val="Default"/>
              <w:rPr>
                <w:rFonts w:asciiTheme="majorHAnsi" w:hAnsiTheme="majorHAnsi"/>
                <w:i/>
                <w:sz w:val="18"/>
                <w:szCs w:val="18"/>
                <w:lang w:val="da-DK"/>
              </w:rPr>
            </w:pPr>
          </w:p>
        </w:tc>
      </w:tr>
      <w:tr w:rsidR="003F3B75" w:rsidRPr="00BD5BD3" w:rsidTr="003F3B75">
        <w:trPr>
          <w:trHeight w:val="320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3F3B75" w:rsidRPr="00A43D2B" w:rsidRDefault="003F3B75" w:rsidP="00DD5505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3F3B75" w:rsidRPr="003F3B75" w:rsidRDefault="003F3B75" w:rsidP="00DD5505">
            <w:pPr>
              <w:rPr>
                <w:rFonts w:asciiTheme="majorHAnsi" w:hAnsiTheme="majorHAnsi"/>
                <w:i/>
                <w:sz w:val="18"/>
                <w:szCs w:val="18"/>
                <w:lang w:val="da-DK"/>
              </w:rPr>
            </w:pPr>
            <w:r w:rsidRPr="003F3B75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Maksimal</w:t>
            </w:r>
            <w:r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e</w:t>
            </w:r>
            <w:r w:rsidRPr="003F3B75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 xml:space="preserve"> årlige omkostninger (</w:t>
            </w:r>
            <w:r w:rsidR="005F4581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p</w:t>
            </w:r>
            <w:r w:rsidRPr="003F3B75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 xml:space="preserve">erformance </w:t>
            </w:r>
            <w:proofErr w:type="spellStart"/>
            <w:r w:rsidRPr="003F3B75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fee</w:t>
            </w:r>
            <w:proofErr w:type="spellEnd"/>
            <w:r w:rsidRPr="003F3B75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)</w:t>
            </w:r>
          </w:p>
          <w:p w:rsidR="003F3B75" w:rsidRPr="00A43D2B" w:rsidRDefault="003F3B75" w:rsidP="00BD5BD3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3F3B75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(</w:t>
            </w:r>
            <w:proofErr w:type="gramStart"/>
            <w:r w:rsidRPr="003F3B75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procent</w:t>
            </w:r>
            <w:proofErr w:type="gramEnd"/>
            <w:r w:rsidRPr="003F3B75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 xml:space="preserve"> af 1 mia. kr.)</w:t>
            </w:r>
          </w:p>
        </w:tc>
      </w:tr>
      <w:tr w:rsidR="003F3B75" w:rsidRPr="00BD5BD3" w:rsidTr="003F3B75">
        <w:trPr>
          <w:trHeight w:val="575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3F3B75" w:rsidRPr="00A43D2B" w:rsidRDefault="003F3B75" w:rsidP="00DD5505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</w:tcPr>
          <w:p w:rsidR="003F3B75" w:rsidRDefault="003F3B75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</w:tr>
      <w:tr w:rsidR="002F61EC" w:rsidRPr="002F61EC" w:rsidTr="003F3B75">
        <w:trPr>
          <w:trHeight w:val="279"/>
        </w:trPr>
        <w:tc>
          <w:tcPr>
            <w:tcW w:w="4106" w:type="dxa"/>
            <w:vMerge w:val="restart"/>
            <w:shd w:val="clear" w:color="auto" w:fill="D9D9D9" w:themeFill="background1" w:themeFillShade="D9"/>
          </w:tcPr>
          <w:p w:rsidR="002F61EC" w:rsidRPr="00A43D2B" w:rsidRDefault="002F61EC" w:rsidP="00DD5505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</w:pPr>
            <w:r w:rsidRPr="00A43D2B"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  <w:t xml:space="preserve">3) Kurtage </w:t>
            </w:r>
          </w:p>
          <w:p w:rsidR="002F61EC" w:rsidRPr="00A43D2B" w:rsidRDefault="002F61EC" w:rsidP="00DD5505">
            <w:pPr>
              <w:pStyle w:val="Default"/>
              <w:rPr>
                <w:rFonts w:asciiTheme="majorHAnsi" w:hAnsiTheme="majorHAnsi"/>
                <w:color w:val="auto"/>
                <w:sz w:val="18"/>
                <w:szCs w:val="18"/>
                <w:lang w:val="da-DK"/>
              </w:rPr>
            </w:pPr>
          </w:p>
          <w:p w:rsidR="002F61EC" w:rsidRPr="00A43D2B" w:rsidRDefault="002F61EC" w:rsidP="00DD5505">
            <w:pPr>
              <w:pStyle w:val="Default"/>
              <w:rPr>
                <w:rFonts w:asciiTheme="majorHAnsi" w:hAnsiTheme="majorHAnsi"/>
                <w:i/>
                <w:iCs/>
                <w:color w:val="auto"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i/>
                <w:iCs/>
                <w:color w:val="auto"/>
                <w:sz w:val="18"/>
                <w:szCs w:val="18"/>
                <w:lang w:val="da-DK"/>
              </w:rPr>
              <w:t>Såfremt der skal betales kurtage</w:t>
            </w:r>
          </w:p>
          <w:p w:rsidR="002F61EC" w:rsidRPr="00A43D2B" w:rsidRDefault="002F61EC" w:rsidP="00DD5505">
            <w:pPr>
              <w:pStyle w:val="Default"/>
              <w:rPr>
                <w:rFonts w:asciiTheme="majorHAnsi" w:hAnsiTheme="majorHAnsi"/>
                <w:i/>
                <w:iCs/>
                <w:color w:val="auto"/>
                <w:sz w:val="18"/>
                <w:szCs w:val="18"/>
                <w:lang w:val="da-DK"/>
              </w:rPr>
            </w:pPr>
            <w:r w:rsidRPr="00A43D2B">
              <w:rPr>
                <w:rFonts w:asciiTheme="majorHAnsi" w:hAnsiTheme="majorHAnsi"/>
                <w:i/>
                <w:iCs/>
                <w:color w:val="auto"/>
                <w:sz w:val="18"/>
                <w:szCs w:val="18"/>
                <w:lang w:val="da-DK"/>
              </w:rPr>
              <w:t xml:space="preserve"> </w:t>
            </w:r>
          </w:p>
          <w:p w:rsidR="002F61EC" w:rsidRPr="00A43D2B" w:rsidRDefault="002F61EC" w:rsidP="00DD5505">
            <w:pPr>
              <w:pStyle w:val="Default"/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2F61EC" w:rsidRPr="003F3B75" w:rsidRDefault="002F61EC" w:rsidP="003F3B75">
            <w:pPr>
              <w:pStyle w:val="Default"/>
              <w:rPr>
                <w:rFonts w:asciiTheme="majorHAnsi" w:hAnsiTheme="majorHAnsi"/>
                <w:i/>
                <w:color w:val="auto"/>
                <w:sz w:val="18"/>
                <w:szCs w:val="18"/>
                <w:lang w:val="da-DK"/>
              </w:rPr>
            </w:pPr>
            <w:r w:rsidRPr="00A43D2B">
              <w:rPr>
                <w:rFonts w:asciiTheme="majorHAnsi" w:hAnsiTheme="majorHAnsi"/>
                <w:i/>
                <w:color w:val="auto"/>
                <w:sz w:val="18"/>
                <w:szCs w:val="18"/>
                <w:lang w:val="da-DK"/>
              </w:rPr>
              <w:t>Statsobligationer (</w:t>
            </w:r>
            <w:r>
              <w:rPr>
                <w:rFonts w:asciiTheme="majorHAnsi" w:hAnsiTheme="majorHAnsi"/>
                <w:i/>
                <w:color w:val="auto"/>
                <w:sz w:val="18"/>
                <w:szCs w:val="18"/>
                <w:lang w:val="da-DK"/>
              </w:rPr>
              <w:t>procent</w:t>
            </w:r>
            <w:r w:rsidRPr="00A43D2B">
              <w:rPr>
                <w:rFonts w:asciiTheme="majorHAnsi" w:hAnsiTheme="majorHAnsi"/>
                <w:i/>
                <w:color w:val="auto"/>
                <w:sz w:val="18"/>
                <w:szCs w:val="18"/>
                <w:lang w:val="da-DK"/>
              </w:rPr>
              <w:t xml:space="preserve"> af handlet værdi)</w:t>
            </w:r>
          </w:p>
        </w:tc>
      </w:tr>
      <w:tr w:rsidR="002F61EC" w:rsidRPr="002F61EC" w:rsidTr="003F3B75">
        <w:trPr>
          <w:trHeight w:val="278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2F61EC" w:rsidRPr="00A43D2B" w:rsidRDefault="002F61EC" w:rsidP="00DD5505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</w:tcPr>
          <w:p w:rsidR="002F61EC" w:rsidRPr="00A43D2B" w:rsidRDefault="002F61EC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  <w:p w:rsidR="002F61EC" w:rsidRPr="00A43D2B" w:rsidRDefault="002F61EC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</w:tr>
      <w:tr w:rsidR="002F61EC" w:rsidRPr="002F61EC" w:rsidTr="003F3B75">
        <w:trPr>
          <w:trHeight w:val="278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2F61EC" w:rsidRPr="00A43D2B" w:rsidRDefault="002F61EC" w:rsidP="00DD5505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2F61EC" w:rsidRPr="003F3B75" w:rsidRDefault="002F61EC" w:rsidP="003F3B75">
            <w:pPr>
              <w:pStyle w:val="Default"/>
              <w:rPr>
                <w:rFonts w:asciiTheme="majorHAnsi" w:hAnsiTheme="majorHAnsi"/>
                <w:i/>
                <w:color w:val="auto"/>
                <w:sz w:val="18"/>
                <w:szCs w:val="18"/>
                <w:lang w:val="da-DK"/>
              </w:rPr>
            </w:pPr>
            <w:r w:rsidRPr="00A43D2B">
              <w:rPr>
                <w:rFonts w:asciiTheme="majorHAnsi" w:hAnsiTheme="majorHAnsi"/>
                <w:i/>
                <w:color w:val="auto"/>
                <w:sz w:val="18"/>
                <w:szCs w:val="18"/>
                <w:lang w:val="da-DK"/>
              </w:rPr>
              <w:t>Realkreditobligationer (procent af handlet værdi)</w:t>
            </w:r>
          </w:p>
        </w:tc>
      </w:tr>
      <w:tr w:rsidR="002F61EC" w:rsidRPr="002F61EC" w:rsidTr="003F3B75">
        <w:trPr>
          <w:trHeight w:val="278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2F61EC" w:rsidRPr="00A43D2B" w:rsidRDefault="002F61EC" w:rsidP="00DD5505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</w:tcPr>
          <w:p w:rsidR="002F61EC" w:rsidRPr="00A43D2B" w:rsidRDefault="002F61EC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  <w:p w:rsidR="002F61EC" w:rsidRPr="00A43D2B" w:rsidRDefault="002F61EC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</w:tr>
      <w:tr w:rsidR="002F61EC" w:rsidRPr="002F61EC" w:rsidTr="003F3B75">
        <w:trPr>
          <w:trHeight w:val="278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2F61EC" w:rsidRPr="00A43D2B" w:rsidRDefault="002F61EC" w:rsidP="00DD5505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2F61EC" w:rsidRPr="003F3B75" w:rsidRDefault="002F61EC" w:rsidP="003F3B75">
            <w:pPr>
              <w:pStyle w:val="Default"/>
              <w:rPr>
                <w:rFonts w:asciiTheme="majorHAnsi" w:hAnsiTheme="majorHAnsi"/>
                <w:i/>
                <w:color w:val="auto"/>
                <w:sz w:val="18"/>
                <w:szCs w:val="18"/>
                <w:lang w:val="da-DK"/>
              </w:rPr>
            </w:pPr>
            <w:r w:rsidRPr="00A43D2B">
              <w:rPr>
                <w:rFonts w:asciiTheme="majorHAnsi" w:hAnsiTheme="majorHAnsi"/>
                <w:i/>
                <w:color w:val="auto"/>
                <w:sz w:val="18"/>
                <w:szCs w:val="18"/>
                <w:lang w:val="da-DK"/>
              </w:rPr>
              <w:t>I</w:t>
            </w:r>
            <w:r>
              <w:rPr>
                <w:rFonts w:asciiTheme="majorHAnsi" w:hAnsiTheme="majorHAnsi"/>
                <w:i/>
                <w:color w:val="auto"/>
                <w:sz w:val="18"/>
                <w:szCs w:val="18"/>
                <w:lang w:val="da-DK"/>
              </w:rPr>
              <w:t xml:space="preserve">nvesteringsbeviser, egne </w:t>
            </w:r>
            <w:r w:rsidRPr="00A43D2B">
              <w:rPr>
                <w:rFonts w:asciiTheme="majorHAnsi" w:hAnsiTheme="majorHAnsi"/>
                <w:i/>
                <w:color w:val="auto"/>
                <w:sz w:val="18"/>
                <w:szCs w:val="18"/>
                <w:lang w:val="da-DK"/>
              </w:rPr>
              <w:t>(procent af handlet værdi)</w:t>
            </w:r>
          </w:p>
        </w:tc>
      </w:tr>
      <w:tr w:rsidR="002F61EC" w:rsidRPr="002F61EC" w:rsidTr="002F61EC">
        <w:trPr>
          <w:trHeight w:val="140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2F61EC" w:rsidRPr="00A43D2B" w:rsidRDefault="002F61EC" w:rsidP="00DD5505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</w:tcPr>
          <w:p w:rsidR="002F61EC" w:rsidRPr="00A43D2B" w:rsidRDefault="002F61EC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  <w:p w:rsidR="002F61EC" w:rsidRPr="00A43D2B" w:rsidRDefault="002F61EC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</w:tr>
      <w:tr w:rsidR="002F61EC" w:rsidRPr="002F61EC" w:rsidTr="002F61EC">
        <w:trPr>
          <w:trHeight w:val="286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2F61EC" w:rsidRPr="00A43D2B" w:rsidRDefault="002F61EC" w:rsidP="00DD5505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2F61EC" w:rsidRPr="002F61EC" w:rsidRDefault="002F61EC" w:rsidP="00DD5505">
            <w:pPr>
              <w:rPr>
                <w:rFonts w:asciiTheme="majorHAnsi" w:hAnsiTheme="majorHAnsi"/>
                <w:i/>
                <w:sz w:val="18"/>
                <w:szCs w:val="18"/>
                <w:lang w:val="da-DK"/>
              </w:rPr>
            </w:pPr>
            <w:r w:rsidRPr="002F61EC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Erhvervsobligationer (procent af handlet værdi)</w:t>
            </w:r>
          </w:p>
        </w:tc>
      </w:tr>
      <w:tr w:rsidR="002F61EC" w:rsidRPr="002F61EC" w:rsidTr="002F61EC">
        <w:trPr>
          <w:trHeight w:val="392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2F61EC" w:rsidRPr="00A43D2B" w:rsidRDefault="002F61EC" w:rsidP="00DD5505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</w:tcPr>
          <w:p w:rsidR="002F61EC" w:rsidRPr="00A43D2B" w:rsidRDefault="002F61EC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</w:tr>
      <w:tr w:rsidR="003F3B75" w:rsidRPr="002F61EC" w:rsidTr="003F3B75">
        <w:trPr>
          <w:trHeight w:val="303"/>
        </w:trPr>
        <w:tc>
          <w:tcPr>
            <w:tcW w:w="4106" w:type="dxa"/>
            <w:vMerge w:val="restart"/>
            <w:shd w:val="clear" w:color="auto" w:fill="D9D9D9" w:themeFill="background1" w:themeFillShade="D9"/>
          </w:tcPr>
          <w:p w:rsidR="003F3B75" w:rsidRDefault="003F3B75" w:rsidP="00DD5505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</w:pPr>
            <w:r w:rsidRPr="00A43D2B"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  <w:t>4) Depot</w:t>
            </w:r>
          </w:p>
          <w:p w:rsidR="003F3B75" w:rsidRPr="00BD5BD3" w:rsidRDefault="003F3B75" w:rsidP="00DD5505">
            <w:pPr>
              <w:pStyle w:val="Default"/>
              <w:rPr>
                <w:rFonts w:asciiTheme="majorHAnsi" w:hAnsiTheme="majorHAnsi"/>
                <w:bCs/>
                <w:color w:val="auto"/>
                <w:sz w:val="18"/>
                <w:szCs w:val="18"/>
                <w:lang w:val="da-DK"/>
              </w:rPr>
            </w:pPr>
          </w:p>
          <w:p w:rsidR="003F3B75" w:rsidRPr="003F3B75" w:rsidRDefault="003F3B75" w:rsidP="00DD5505">
            <w:pPr>
              <w:pStyle w:val="Default"/>
              <w:rPr>
                <w:rFonts w:asciiTheme="majorHAnsi" w:hAnsiTheme="majorHAnsi"/>
                <w:b/>
                <w:bCs/>
                <w:i/>
                <w:color w:val="auto"/>
                <w:sz w:val="18"/>
                <w:szCs w:val="18"/>
                <w:lang w:val="da-DK"/>
              </w:rPr>
            </w:pPr>
            <w:r w:rsidRPr="003F3B75">
              <w:rPr>
                <w:rFonts w:asciiTheme="majorHAnsi" w:hAnsiTheme="majorHAnsi"/>
                <w:bCs/>
                <w:i/>
                <w:color w:val="auto"/>
                <w:sz w:val="18"/>
                <w:szCs w:val="18"/>
                <w:lang w:val="da-DK"/>
              </w:rPr>
              <w:t>Såfremt der skal betales depotgebyr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3F3B75" w:rsidRPr="00A43D2B" w:rsidRDefault="003F3B75" w:rsidP="00FA2073">
            <w:pPr>
              <w:rPr>
                <w:rFonts w:asciiTheme="majorHAnsi" w:hAnsiTheme="majorHAnsi"/>
                <w:i/>
                <w:sz w:val="18"/>
                <w:szCs w:val="18"/>
                <w:lang w:val="da-DK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>I procent af depotets nominelle værdi</w:t>
            </w:r>
          </w:p>
        </w:tc>
      </w:tr>
      <w:tr w:rsidR="003F3B75" w:rsidRPr="002F61EC" w:rsidTr="003F3B75">
        <w:trPr>
          <w:trHeight w:val="363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3F3B75" w:rsidRPr="00A43D2B" w:rsidRDefault="003F3B75" w:rsidP="00DD5505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</w:tcPr>
          <w:p w:rsidR="003F3B75" w:rsidRPr="00A43D2B" w:rsidRDefault="003F3B75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  <w:p w:rsidR="003F3B75" w:rsidRPr="00A43D2B" w:rsidRDefault="003F3B75" w:rsidP="003F3B7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</w:tr>
      <w:tr w:rsidR="003F3B75" w:rsidRPr="00BD5BD3" w:rsidTr="003F3B75">
        <w:trPr>
          <w:trHeight w:val="241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3F3B75" w:rsidRPr="00A43D2B" w:rsidRDefault="003F3B75" w:rsidP="00DD5505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3F3B75" w:rsidRPr="003F3B75" w:rsidRDefault="003F3B75" w:rsidP="00DD5505">
            <w:pPr>
              <w:rPr>
                <w:rFonts w:asciiTheme="majorHAnsi" w:hAnsiTheme="majorHAnsi"/>
                <w:i/>
                <w:sz w:val="18"/>
                <w:szCs w:val="18"/>
                <w:lang w:val="da-DK"/>
              </w:rPr>
            </w:pPr>
            <w:r w:rsidRPr="003F3B75">
              <w:rPr>
                <w:rFonts w:asciiTheme="majorHAnsi" w:hAnsiTheme="majorHAnsi"/>
                <w:i/>
                <w:sz w:val="18"/>
                <w:szCs w:val="18"/>
                <w:lang w:val="da-DK"/>
              </w:rPr>
              <w:t xml:space="preserve">Maksimal årlig omkostning (DKK) </w:t>
            </w:r>
          </w:p>
        </w:tc>
      </w:tr>
      <w:tr w:rsidR="003F3B75" w:rsidRPr="00BD5BD3" w:rsidTr="003F3B75">
        <w:trPr>
          <w:trHeight w:val="381"/>
        </w:trPr>
        <w:tc>
          <w:tcPr>
            <w:tcW w:w="4106" w:type="dxa"/>
            <w:vMerge/>
            <w:shd w:val="clear" w:color="auto" w:fill="D9D9D9" w:themeFill="background1" w:themeFillShade="D9"/>
          </w:tcPr>
          <w:p w:rsidR="003F3B75" w:rsidRPr="00A43D2B" w:rsidRDefault="003F3B75" w:rsidP="00DD5505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</w:tcPr>
          <w:p w:rsidR="003F3B75" w:rsidRPr="00A43D2B" w:rsidRDefault="003F3B75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</w:tr>
      <w:tr w:rsidR="00DD5505" w:rsidRPr="00A43D2B" w:rsidTr="003F3B75">
        <w:tc>
          <w:tcPr>
            <w:tcW w:w="4106" w:type="dxa"/>
            <w:shd w:val="clear" w:color="auto" w:fill="D9D9D9" w:themeFill="background1" w:themeFillShade="D9"/>
          </w:tcPr>
          <w:p w:rsidR="00DD5505" w:rsidRPr="00A43D2B" w:rsidRDefault="00A43D2B" w:rsidP="00DD5505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</w:pPr>
            <w:r w:rsidRPr="00A43D2B"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  <w:t>5</w:t>
            </w:r>
            <w:r w:rsidR="00DD5505" w:rsidRPr="00A43D2B">
              <w:rPr>
                <w:rFonts w:asciiTheme="majorHAnsi" w:hAnsiTheme="majorHAnsi"/>
                <w:b/>
                <w:bCs/>
                <w:color w:val="auto"/>
                <w:sz w:val="18"/>
                <w:szCs w:val="18"/>
                <w:lang w:val="da-DK"/>
              </w:rPr>
              <w:t>) Andre omkostninger (kr.)</w:t>
            </w:r>
          </w:p>
          <w:p w:rsidR="00DD5505" w:rsidRPr="00A43D2B" w:rsidRDefault="00DD5505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</w:tcPr>
          <w:p w:rsidR="00DD5505" w:rsidRDefault="00DD5505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  <w:p w:rsidR="003F3B75" w:rsidRDefault="003F3B75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  <w:p w:rsidR="003F3B75" w:rsidRPr="00A43D2B" w:rsidRDefault="003F3B75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</w:tr>
      <w:tr w:rsidR="00DD5505" w:rsidRPr="00A43D2B" w:rsidTr="003F3B75">
        <w:tc>
          <w:tcPr>
            <w:tcW w:w="4106" w:type="dxa"/>
            <w:shd w:val="clear" w:color="auto" w:fill="D9D9D9" w:themeFill="background1" w:themeFillShade="D9"/>
          </w:tcPr>
          <w:p w:rsidR="00DD5505" w:rsidRPr="00A43D2B" w:rsidRDefault="00A43D2B" w:rsidP="00DD5505">
            <w:pPr>
              <w:rPr>
                <w:rFonts w:asciiTheme="majorHAnsi" w:hAnsiTheme="majorHAnsi"/>
                <w:b/>
                <w:sz w:val="18"/>
                <w:szCs w:val="18"/>
                <w:lang w:val="da-DK"/>
              </w:rPr>
            </w:pPr>
            <w:r w:rsidRPr="00A43D2B">
              <w:rPr>
                <w:rFonts w:asciiTheme="majorHAnsi" w:hAnsiTheme="majorHAnsi"/>
                <w:b/>
                <w:bCs/>
                <w:sz w:val="18"/>
                <w:szCs w:val="18"/>
                <w:lang w:val="da-DK"/>
              </w:rPr>
              <w:t>6</w:t>
            </w:r>
            <w:r w:rsidR="00DD5505" w:rsidRPr="00A43D2B">
              <w:rPr>
                <w:rFonts w:asciiTheme="majorHAnsi" w:hAnsiTheme="majorHAnsi"/>
                <w:b/>
                <w:bCs/>
                <w:sz w:val="18"/>
                <w:szCs w:val="18"/>
                <w:lang w:val="da-DK"/>
              </w:rPr>
              <w:t xml:space="preserve">) Rente </w:t>
            </w:r>
            <w:r w:rsidR="00DD5505" w:rsidRPr="00A43D2B">
              <w:rPr>
                <w:rFonts w:asciiTheme="majorHAnsi" w:hAnsiTheme="majorHAnsi"/>
                <w:b/>
                <w:sz w:val="18"/>
                <w:szCs w:val="18"/>
                <w:lang w:val="da-DK"/>
              </w:rPr>
              <w:t>for indestående på kontantkonti</w:t>
            </w:r>
          </w:p>
          <w:p w:rsidR="00DD5505" w:rsidRPr="00A43D2B" w:rsidRDefault="00DD5505" w:rsidP="00DD5505">
            <w:pPr>
              <w:rPr>
                <w:rFonts w:asciiTheme="majorHAnsi" w:hAnsiTheme="majorHAnsi"/>
                <w:b/>
                <w:sz w:val="18"/>
                <w:szCs w:val="18"/>
                <w:lang w:val="da-DK"/>
              </w:rPr>
            </w:pPr>
          </w:p>
          <w:p w:rsidR="00DD5505" w:rsidRPr="00A43D2B" w:rsidRDefault="00DD5505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  <w:tc>
          <w:tcPr>
            <w:tcW w:w="5244" w:type="dxa"/>
          </w:tcPr>
          <w:p w:rsidR="00DD5505" w:rsidRPr="00A43D2B" w:rsidRDefault="00DD5505" w:rsidP="00DD5505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</w:p>
        </w:tc>
      </w:tr>
    </w:tbl>
    <w:p w:rsidR="003F3B75" w:rsidRDefault="003F3B75" w:rsidP="006E530A">
      <w:pPr>
        <w:spacing w:after="0" w:line="240" w:lineRule="auto"/>
        <w:rPr>
          <w:rFonts w:ascii="Georgia" w:hAnsi="Georgia"/>
          <w:b/>
          <w:i/>
          <w:sz w:val="20"/>
          <w:szCs w:val="20"/>
          <w:lang w:val="da-DK"/>
        </w:rPr>
      </w:pPr>
    </w:p>
    <w:p w:rsidR="0072479C" w:rsidRPr="0072479C" w:rsidRDefault="0072479C" w:rsidP="006E530A">
      <w:pPr>
        <w:spacing w:after="0" w:line="240" w:lineRule="auto"/>
        <w:rPr>
          <w:rFonts w:ascii="Georgia" w:hAnsi="Georgia"/>
          <w:b/>
          <w:i/>
          <w:sz w:val="20"/>
          <w:szCs w:val="20"/>
          <w:lang w:val="da-DK"/>
        </w:rPr>
      </w:pPr>
      <w:r w:rsidRPr="0072479C">
        <w:rPr>
          <w:rFonts w:ascii="Georgia" w:hAnsi="Georgia"/>
          <w:b/>
          <w:i/>
          <w:sz w:val="20"/>
          <w:szCs w:val="20"/>
          <w:lang w:val="da-DK"/>
        </w:rPr>
        <w:t>Udfyldningsvejledning</w:t>
      </w:r>
      <w:r>
        <w:rPr>
          <w:rFonts w:ascii="Georgia" w:hAnsi="Georgia"/>
          <w:b/>
          <w:i/>
          <w:sz w:val="20"/>
          <w:szCs w:val="20"/>
          <w:lang w:val="da-DK"/>
        </w:rPr>
        <w:t xml:space="preserve"> til skema</w:t>
      </w:r>
      <w:r w:rsidR="00BD5BD3">
        <w:rPr>
          <w:rFonts w:ascii="Georgia" w:hAnsi="Georgia"/>
          <w:b/>
          <w:i/>
          <w:sz w:val="20"/>
          <w:szCs w:val="20"/>
          <w:lang w:val="da-DK"/>
        </w:rPr>
        <w:t>:</w:t>
      </w:r>
    </w:p>
    <w:p w:rsidR="0072479C" w:rsidRPr="0072479C" w:rsidRDefault="0072479C" w:rsidP="0072479C">
      <w:pPr>
        <w:pStyle w:val="ListParagraph"/>
        <w:spacing w:after="0" w:line="240" w:lineRule="auto"/>
        <w:ind w:left="360"/>
        <w:rPr>
          <w:rFonts w:ascii="Georgia" w:hAnsi="Georgia"/>
          <w:sz w:val="20"/>
          <w:szCs w:val="20"/>
          <w:lang w:val="da-DK"/>
        </w:rPr>
      </w:pPr>
    </w:p>
    <w:p w:rsidR="00DD5505" w:rsidRDefault="006B5E4E" w:rsidP="00DD5505">
      <w:pPr>
        <w:pStyle w:val="Default"/>
        <w:numPr>
          <w:ilvl w:val="0"/>
          <w:numId w:val="5"/>
        </w:numPr>
        <w:ind w:left="426" w:hanging="426"/>
        <w:rPr>
          <w:sz w:val="18"/>
          <w:szCs w:val="18"/>
          <w:lang w:val="da-DK"/>
        </w:rPr>
      </w:pPr>
      <w:r w:rsidRPr="0072479C">
        <w:rPr>
          <w:rFonts w:ascii="Georgia" w:hAnsi="Georgia"/>
          <w:b/>
          <w:sz w:val="20"/>
          <w:szCs w:val="20"/>
          <w:lang w:val="da-DK"/>
        </w:rPr>
        <w:t xml:space="preserve">Fast </w:t>
      </w:r>
      <w:proofErr w:type="spellStart"/>
      <w:r w:rsidRPr="0072479C">
        <w:rPr>
          <w:rFonts w:ascii="Georgia" w:hAnsi="Georgia"/>
          <w:b/>
          <w:sz w:val="20"/>
          <w:szCs w:val="20"/>
          <w:lang w:val="da-DK"/>
        </w:rPr>
        <w:t>fee</w:t>
      </w:r>
      <w:proofErr w:type="spellEnd"/>
      <w:r w:rsidRPr="006E530A">
        <w:rPr>
          <w:rFonts w:ascii="Georgia" w:hAnsi="Georgia"/>
          <w:sz w:val="20"/>
          <w:szCs w:val="20"/>
          <w:lang w:val="da-DK"/>
        </w:rPr>
        <w:t xml:space="preserve">: </w:t>
      </w:r>
      <w:r w:rsidR="006E530A">
        <w:rPr>
          <w:rFonts w:ascii="Georgia" w:hAnsi="Georgia"/>
          <w:sz w:val="20"/>
          <w:szCs w:val="20"/>
          <w:lang w:val="da-DK"/>
        </w:rPr>
        <w:t>T</w:t>
      </w:r>
      <w:r w:rsidRPr="006E530A">
        <w:rPr>
          <w:rFonts w:ascii="Georgia" w:hAnsi="Georgia"/>
          <w:sz w:val="20"/>
          <w:szCs w:val="20"/>
          <w:lang w:val="da-DK"/>
        </w:rPr>
        <w:t>ilbudsgiver</w:t>
      </w:r>
      <w:r w:rsidR="00DD5505">
        <w:rPr>
          <w:rFonts w:ascii="Georgia" w:hAnsi="Georgia"/>
          <w:sz w:val="20"/>
          <w:szCs w:val="20"/>
          <w:lang w:val="da-DK"/>
        </w:rPr>
        <w:t xml:space="preserve"> </w:t>
      </w:r>
      <w:r w:rsidR="005F4581">
        <w:rPr>
          <w:rFonts w:ascii="Georgia" w:hAnsi="Georgia"/>
          <w:sz w:val="20"/>
          <w:szCs w:val="20"/>
          <w:lang w:val="da-DK"/>
        </w:rPr>
        <w:t xml:space="preserve">skal </w:t>
      </w:r>
      <w:r w:rsidR="00DD5505">
        <w:rPr>
          <w:rFonts w:ascii="Georgia" w:hAnsi="Georgia"/>
          <w:sz w:val="20"/>
          <w:szCs w:val="20"/>
          <w:lang w:val="da-DK"/>
        </w:rPr>
        <w:t>angive de m</w:t>
      </w:r>
      <w:r w:rsidR="00DD5505" w:rsidRPr="00DD5505">
        <w:rPr>
          <w:rFonts w:ascii="Georgia" w:hAnsi="Georgia"/>
          <w:sz w:val="20"/>
          <w:szCs w:val="20"/>
          <w:lang w:val="da-DK"/>
        </w:rPr>
        <w:t>aksimale årlige omkostninger ved den dyreste allokering i henhold til investeri</w:t>
      </w:r>
      <w:r w:rsidR="00DD5505">
        <w:rPr>
          <w:rFonts w:ascii="Georgia" w:hAnsi="Georgia"/>
          <w:sz w:val="20"/>
          <w:szCs w:val="20"/>
          <w:lang w:val="da-DK"/>
        </w:rPr>
        <w:t xml:space="preserve">ngsrammen i såvel procent af volumen samt i DKK. </w:t>
      </w:r>
      <w:r w:rsidR="00DD5505">
        <w:rPr>
          <w:sz w:val="18"/>
          <w:szCs w:val="18"/>
          <w:lang w:val="da-DK"/>
        </w:rPr>
        <w:t xml:space="preserve"> </w:t>
      </w:r>
    </w:p>
    <w:p w:rsidR="006B5E4E" w:rsidRPr="006B5E4E" w:rsidRDefault="006B5E4E" w:rsidP="00DD5505">
      <w:pPr>
        <w:spacing w:after="0" w:line="240" w:lineRule="auto"/>
        <w:ind w:left="426" w:hanging="426"/>
        <w:rPr>
          <w:rFonts w:ascii="Georgia" w:hAnsi="Georgia"/>
          <w:sz w:val="20"/>
          <w:szCs w:val="20"/>
          <w:lang w:val="da-DK"/>
        </w:rPr>
      </w:pPr>
    </w:p>
    <w:p w:rsidR="00B24B1B" w:rsidRDefault="000A502D" w:rsidP="005B7B98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sz w:val="20"/>
          <w:szCs w:val="20"/>
          <w:lang w:val="da-DK"/>
        </w:rPr>
      </w:pPr>
      <w:r w:rsidRPr="005F4581">
        <w:rPr>
          <w:rFonts w:ascii="Georgia" w:hAnsi="Georgia"/>
          <w:b/>
          <w:sz w:val="20"/>
          <w:szCs w:val="20"/>
          <w:lang w:val="da-DK"/>
        </w:rPr>
        <w:t>Performance</w:t>
      </w:r>
      <w:r w:rsidR="006B5E4E" w:rsidRPr="005F4581">
        <w:rPr>
          <w:rFonts w:ascii="Georgia" w:hAnsi="Georgia"/>
          <w:b/>
          <w:sz w:val="20"/>
          <w:szCs w:val="20"/>
          <w:lang w:val="da-DK"/>
        </w:rPr>
        <w:t xml:space="preserve"> </w:t>
      </w:r>
      <w:proofErr w:type="spellStart"/>
      <w:r w:rsidR="006B5E4E" w:rsidRPr="005F4581">
        <w:rPr>
          <w:rFonts w:ascii="Georgia" w:hAnsi="Georgia"/>
          <w:b/>
          <w:sz w:val="20"/>
          <w:szCs w:val="20"/>
          <w:lang w:val="da-DK"/>
        </w:rPr>
        <w:t>fee</w:t>
      </w:r>
      <w:proofErr w:type="spellEnd"/>
      <w:r w:rsidR="006B5E4E" w:rsidRPr="005F4581">
        <w:rPr>
          <w:rFonts w:ascii="Georgia" w:hAnsi="Georgia"/>
          <w:sz w:val="20"/>
          <w:szCs w:val="20"/>
          <w:lang w:val="da-DK"/>
        </w:rPr>
        <w:t xml:space="preserve">: Tilbudsgiver skal ud fra et forventet merafkast i forhold til relevante </w:t>
      </w:r>
      <w:proofErr w:type="spellStart"/>
      <w:r w:rsidR="006B5E4E" w:rsidRPr="005F4581">
        <w:rPr>
          <w:rFonts w:ascii="Georgia" w:hAnsi="Georgia"/>
          <w:sz w:val="20"/>
          <w:szCs w:val="20"/>
          <w:lang w:val="da-DK"/>
        </w:rPr>
        <w:t>benchmark</w:t>
      </w:r>
      <w:proofErr w:type="spellEnd"/>
      <w:r w:rsidR="006B5E4E" w:rsidRPr="005F4581">
        <w:rPr>
          <w:rFonts w:ascii="Georgia" w:hAnsi="Georgia"/>
          <w:sz w:val="20"/>
          <w:szCs w:val="20"/>
          <w:lang w:val="da-DK"/>
        </w:rPr>
        <w:t xml:space="preserve"> angive performancegebyrer</w:t>
      </w:r>
      <w:r w:rsidRPr="005F4581">
        <w:rPr>
          <w:rFonts w:ascii="Georgia" w:hAnsi="Georgia"/>
          <w:sz w:val="20"/>
          <w:szCs w:val="20"/>
          <w:lang w:val="da-DK"/>
        </w:rPr>
        <w:t xml:space="preserve">. </w:t>
      </w:r>
      <w:r w:rsidR="006B5E4E" w:rsidRPr="005F4581">
        <w:rPr>
          <w:rFonts w:ascii="Georgia" w:hAnsi="Georgia"/>
          <w:sz w:val="20"/>
          <w:szCs w:val="20"/>
          <w:lang w:val="da-DK"/>
        </w:rPr>
        <w:t>Tilbudsgiver</w:t>
      </w:r>
      <w:r w:rsidR="0072479C" w:rsidRPr="005F4581">
        <w:rPr>
          <w:rFonts w:ascii="Georgia" w:hAnsi="Georgia"/>
          <w:sz w:val="20"/>
          <w:szCs w:val="20"/>
          <w:lang w:val="da-DK"/>
        </w:rPr>
        <w:t xml:space="preserve"> skal</w:t>
      </w:r>
      <w:r w:rsidR="006B5E4E" w:rsidRPr="005F4581">
        <w:rPr>
          <w:rFonts w:ascii="Georgia" w:hAnsi="Georgia"/>
          <w:sz w:val="20"/>
          <w:szCs w:val="20"/>
          <w:lang w:val="da-DK"/>
        </w:rPr>
        <w:t xml:space="preserve"> oplys</w:t>
      </w:r>
      <w:r w:rsidR="006E530A" w:rsidRPr="005F4581">
        <w:rPr>
          <w:rFonts w:ascii="Georgia" w:hAnsi="Georgia"/>
          <w:sz w:val="20"/>
          <w:szCs w:val="20"/>
          <w:lang w:val="da-DK"/>
        </w:rPr>
        <w:t>e om det årlige opkrævede perfo</w:t>
      </w:r>
      <w:r w:rsidR="00C709C7" w:rsidRPr="005F4581">
        <w:rPr>
          <w:rFonts w:ascii="Georgia" w:hAnsi="Georgia"/>
          <w:sz w:val="20"/>
          <w:szCs w:val="20"/>
          <w:lang w:val="da-DK"/>
        </w:rPr>
        <w:t>r</w:t>
      </w:r>
      <w:r w:rsidR="006E530A" w:rsidRPr="005F4581">
        <w:rPr>
          <w:rFonts w:ascii="Georgia" w:hAnsi="Georgia"/>
          <w:sz w:val="20"/>
          <w:szCs w:val="20"/>
          <w:lang w:val="da-DK"/>
        </w:rPr>
        <w:t>m</w:t>
      </w:r>
      <w:r w:rsidR="006B5E4E" w:rsidRPr="005F4581">
        <w:rPr>
          <w:rFonts w:ascii="Georgia" w:hAnsi="Georgia"/>
          <w:sz w:val="20"/>
          <w:szCs w:val="20"/>
          <w:lang w:val="da-DK"/>
        </w:rPr>
        <w:t>ance</w:t>
      </w:r>
      <w:r w:rsidR="006E530A" w:rsidRPr="005F4581">
        <w:rPr>
          <w:rFonts w:ascii="Georgia" w:hAnsi="Georgia"/>
          <w:sz w:val="20"/>
          <w:szCs w:val="20"/>
          <w:lang w:val="da-DK"/>
        </w:rPr>
        <w:t>-</w:t>
      </w:r>
      <w:r w:rsidR="006B5E4E" w:rsidRPr="005F4581">
        <w:rPr>
          <w:rFonts w:ascii="Georgia" w:hAnsi="Georgia"/>
          <w:sz w:val="20"/>
          <w:szCs w:val="20"/>
          <w:lang w:val="da-DK"/>
        </w:rPr>
        <w:t xml:space="preserve">afhængige gebyr, som en procentandel af merafkastet i forhold til </w:t>
      </w:r>
      <w:proofErr w:type="spellStart"/>
      <w:r w:rsidR="006B5E4E" w:rsidRPr="005F4581">
        <w:rPr>
          <w:rFonts w:ascii="Georgia" w:hAnsi="Georgia"/>
          <w:sz w:val="20"/>
          <w:szCs w:val="20"/>
          <w:lang w:val="da-DK"/>
        </w:rPr>
        <w:t>benchmark</w:t>
      </w:r>
      <w:proofErr w:type="spellEnd"/>
      <w:r w:rsidR="006B5E4E" w:rsidRPr="005F4581">
        <w:rPr>
          <w:rFonts w:ascii="Georgia" w:hAnsi="Georgia"/>
          <w:sz w:val="20"/>
          <w:szCs w:val="20"/>
          <w:lang w:val="da-DK"/>
        </w:rPr>
        <w:t>.</w:t>
      </w:r>
    </w:p>
    <w:p w:rsidR="00B24B1B" w:rsidRPr="005F4581" w:rsidRDefault="00B24B1B" w:rsidP="00612910">
      <w:pPr>
        <w:pStyle w:val="ListParagraph"/>
        <w:spacing w:after="0" w:line="240" w:lineRule="auto"/>
        <w:ind w:left="426"/>
        <w:rPr>
          <w:rFonts w:ascii="Georgia" w:hAnsi="Georgia"/>
          <w:sz w:val="20"/>
          <w:szCs w:val="20"/>
          <w:lang w:val="da-DK"/>
        </w:rPr>
      </w:pPr>
    </w:p>
    <w:p w:rsidR="00B24B1B" w:rsidRDefault="00B24B1B" w:rsidP="00B24B1B">
      <w:pPr>
        <w:spacing w:after="0" w:line="240" w:lineRule="auto"/>
        <w:ind w:left="426"/>
        <w:rPr>
          <w:rFonts w:ascii="Georgia" w:hAnsi="Georgia"/>
          <w:sz w:val="20"/>
          <w:szCs w:val="20"/>
          <w:lang w:val="da-DK"/>
        </w:rPr>
      </w:pPr>
      <w:r>
        <w:rPr>
          <w:rFonts w:ascii="Georgia" w:hAnsi="Georgia"/>
          <w:sz w:val="20"/>
          <w:szCs w:val="20"/>
          <w:lang w:val="da-DK"/>
        </w:rPr>
        <w:t xml:space="preserve">Under feltet ”Maksimale årlige omkostninger (Performance </w:t>
      </w:r>
      <w:proofErr w:type="spellStart"/>
      <w:proofErr w:type="gramStart"/>
      <w:r>
        <w:rPr>
          <w:rFonts w:ascii="Georgia" w:hAnsi="Georgia"/>
          <w:sz w:val="20"/>
          <w:szCs w:val="20"/>
          <w:lang w:val="da-DK"/>
        </w:rPr>
        <w:t>Fee</w:t>
      </w:r>
      <w:proofErr w:type="spellEnd"/>
      <w:r>
        <w:rPr>
          <w:rFonts w:ascii="Georgia" w:hAnsi="Georgia"/>
          <w:sz w:val="20"/>
          <w:szCs w:val="20"/>
          <w:lang w:val="da-DK"/>
        </w:rPr>
        <w:t>)”</w:t>
      </w:r>
      <w:proofErr w:type="gramEnd"/>
      <w:r>
        <w:rPr>
          <w:rFonts w:ascii="Georgia" w:hAnsi="Georgia"/>
          <w:sz w:val="20"/>
          <w:szCs w:val="20"/>
          <w:lang w:val="da-DK"/>
        </w:rPr>
        <w:t xml:space="preserve"> skal </w:t>
      </w:r>
      <w:r w:rsidR="005F4581">
        <w:rPr>
          <w:rFonts w:ascii="Georgia" w:hAnsi="Georgia"/>
          <w:sz w:val="20"/>
          <w:szCs w:val="20"/>
          <w:lang w:val="da-DK"/>
        </w:rPr>
        <w:t>T</w:t>
      </w:r>
      <w:r>
        <w:rPr>
          <w:rFonts w:ascii="Georgia" w:hAnsi="Georgia"/>
          <w:sz w:val="20"/>
          <w:szCs w:val="20"/>
          <w:lang w:val="da-DK"/>
        </w:rPr>
        <w:t xml:space="preserve">ilbudsgiver angive et gebyrloft, som skal udgøre det maksimale performancegebyr, der opkræves. </w:t>
      </w:r>
    </w:p>
    <w:p w:rsidR="00A43D2B" w:rsidRPr="00B24B1B" w:rsidRDefault="006B5E4E" w:rsidP="00B24B1B">
      <w:pPr>
        <w:spacing w:after="0" w:line="240" w:lineRule="auto"/>
        <w:ind w:left="426"/>
        <w:rPr>
          <w:rFonts w:ascii="Georgia" w:hAnsi="Georgia"/>
          <w:sz w:val="20"/>
          <w:szCs w:val="20"/>
          <w:lang w:val="da-DK"/>
        </w:rPr>
      </w:pPr>
      <w:r w:rsidRPr="00B24B1B">
        <w:rPr>
          <w:rFonts w:ascii="Georgia" w:hAnsi="Georgia"/>
          <w:sz w:val="20"/>
          <w:szCs w:val="20"/>
          <w:lang w:val="da-DK"/>
        </w:rPr>
        <w:t xml:space="preserve"> </w:t>
      </w:r>
    </w:p>
    <w:p w:rsidR="00A43D2B" w:rsidRDefault="00A43D2B" w:rsidP="00A43D2B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sz w:val="20"/>
          <w:szCs w:val="20"/>
          <w:lang w:val="da-DK"/>
        </w:rPr>
      </w:pPr>
      <w:r w:rsidRPr="00A43D2B">
        <w:rPr>
          <w:rFonts w:ascii="Georgia" w:hAnsi="Georgia"/>
          <w:b/>
          <w:sz w:val="20"/>
          <w:szCs w:val="20"/>
          <w:lang w:val="da-DK"/>
        </w:rPr>
        <w:t>Kurtage:</w:t>
      </w:r>
      <w:r w:rsidRPr="00A43D2B">
        <w:rPr>
          <w:rFonts w:ascii="Georgia" w:hAnsi="Georgia"/>
          <w:sz w:val="20"/>
          <w:szCs w:val="20"/>
          <w:lang w:val="da-DK"/>
        </w:rPr>
        <w:t xml:space="preserve"> Tilbudsgiver skal angive eventuelle årlige kurtageomkostninger for statsobligationer, realkreditobligationer</w:t>
      </w:r>
      <w:r w:rsidR="00FA2073">
        <w:rPr>
          <w:rFonts w:ascii="Georgia" w:hAnsi="Georgia"/>
          <w:sz w:val="20"/>
          <w:szCs w:val="20"/>
          <w:lang w:val="da-DK"/>
        </w:rPr>
        <w:t>, erhvervsobligationer</w:t>
      </w:r>
      <w:r w:rsidRPr="00A43D2B">
        <w:rPr>
          <w:rFonts w:ascii="Georgia" w:hAnsi="Georgia"/>
          <w:sz w:val="20"/>
          <w:szCs w:val="20"/>
          <w:lang w:val="da-DK"/>
        </w:rPr>
        <w:t xml:space="preserve"> samt investeringsbeviser i investeringsforeninger.</w:t>
      </w:r>
      <w:r>
        <w:rPr>
          <w:rFonts w:ascii="Georgia" w:hAnsi="Georgia"/>
          <w:sz w:val="20"/>
          <w:szCs w:val="20"/>
          <w:lang w:val="da-DK"/>
        </w:rPr>
        <w:t xml:space="preserve"> Omkostningerne skal angives i procent af handlet værdi.</w:t>
      </w:r>
    </w:p>
    <w:p w:rsidR="00A43D2B" w:rsidRPr="00A43D2B" w:rsidRDefault="00A43D2B" w:rsidP="00A43D2B">
      <w:pPr>
        <w:pStyle w:val="ListParagraph"/>
        <w:rPr>
          <w:rFonts w:ascii="Georgia" w:hAnsi="Georgia"/>
          <w:sz w:val="20"/>
          <w:szCs w:val="20"/>
          <w:lang w:val="da-DK"/>
        </w:rPr>
      </w:pPr>
    </w:p>
    <w:p w:rsidR="00A43D2B" w:rsidRPr="00A43D2B" w:rsidRDefault="00A43D2B" w:rsidP="00A43D2B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b/>
          <w:sz w:val="20"/>
          <w:szCs w:val="20"/>
          <w:lang w:val="da-DK"/>
        </w:rPr>
      </w:pPr>
      <w:r w:rsidRPr="00A43D2B">
        <w:rPr>
          <w:rFonts w:ascii="Georgia" w:hAnsi="Georgia"/>
          <w:b/>
          <w:sz w:val="20"/>
          <w:szCs w:val="20"/>
          <w:lang w:val="da-DK"/>
        </w:rPr>
        <w:t>Depot:</w:t>
      </w:r>
      <w:r>
        <w:rPr>
          <w:rFonts w:ascii="Georgia" w:hAnsi="Georgia"/>
          <w:b/>
          <w:sz w:val="20"/>
          <w:szCs w:val="20"/>
          <w:lang w:val="da-DK"/>
        </w:rPr>
        <w:t xml:space="preserve"> </w:t>
      </w:r>
      <w:r>
        <w:rPr>
          <w:rFonts w:ascii="Georgia" w:hAnsi="Georgia"/>
          <w:sz w:val="20"/>
          <w:szCs w:val="20"/>
          <w:lang w:val="da-DK"/>
        </w:rPr>
        <w:t xml:space="preserve">Tilbudsgiver skal angive eventuelle årlige depotgebyrer for opbevaring af </w:t>
      </w:r>
      <w:r w:rsidRPr="00A43D2B">
        <w:rPr>
          <w:rFonts w:ascii="Georgia" w:hAnsi="Georgia"/>
          <w:sz w:val="20"/>
          <w:szCs w:val="20"/>
          <w:lang w:val="da-DK"/>
        </w:rPr>
        <w:t>statsobligationer, realkreditobligationer</w:t>
      </w:r>
      <w:r w:rsidR="00FA2073">
        <w:rPr>
          <w:rFonts w:ascii="Georgia" w:hAnsi="Georgia"/>
          <w:sz w:val="20"/>
          <w:szCs w:val="20"/>
          <w:lang w:val="da-DK"/>
        </w:rPr>
        <w:t>, erhvervsobligationer</w:t>
      </w:r>
      <w:r w:rsidRPr="00A43D2B">
        <w:rPr>
          <w:rFonts w:ascii="Georgia" w:hAnsi="Georgia"/>
          <w:sz w:val="20"/>
          <w:szCs w:val="20"/>
          <w:lang w:val="da-DK"/>
        </w:rPr>
        <w:t xml:space="preserve"> samt </w:t>
      </w:r>
      <w:r w:rsidR="00701695">
        <w:rPr>
          <w:rFonts w:ascii="Georgia" w:hAnsi="Georgia"/>
          <w:sz w:val="20"/>
          <w:szCs w:val="20"/>
          <w:lang w:val="da-DK"/>
        </w:rPr>
        <w:t xml:space="preserve">egne </w:t>
      </w:r>
      <w:r w:rsidRPr="00A43D2B">
        <w:rPr>
          <w:rFonts w:ascii="Georgia" w:hAnsi="Georgia"/>
          <w:sz w:val="20"/>
          <w:szCs w:val="20"/>
          <w:lang w:val="da-DK"/>
        </w:rPr>
        <w:t>investeringsbeviser i investeringsforeninger</w:t>
      </w:r>
      <w:r>
        <w:rPr>
          <w:rFonts w:ascii="Georgia" w:hAnsi="Georgia"/>
          <w:sz w:val="20"/>
          <w:szCs w:val="20"/>
          <w:lang w:val="da-DK"/>
        </w:rPr>
        <w:t>. Gebyrerne skal angives i procent af depotets nominelle værdi</w:t>
      </w:r>
      <w:r w:rsidR="00FA2073">
        <w:rPr>
          <w:rFonts w:ascii="Georgia" w:hAnsi="Georgia"/>
          <w:sz w:val="20"/>
          <w:szCs w:val="20"/>
          <w:lang w:val="da-DK"/>
        </w:rPr>
        <w:t xml:space="preserve"> og maksimal årlig omkostning (DKK).</w:t>
      </w:r>
    </w:p>
    <w:p w:rsidR="006E530A" w:rsidRDefault="006E530A" w:rsidP="00DD5505">
      <w:pPr>
        <w:spacing w:after="0" w:line="240" w:lineRule="auto"/>
        <w:ind w:left="426" w:hanging="426"/>
        <w:rPr>
          <w:rFonts w:ascii="Georgia" w:hAnsi="Georgia"/>
          <w:sz w:val="20"/>
          <w:szCs w:val="20"/>
          <w:lang w:val="da-DK"/>
        </w:rPr>
      </w:pPr>
    </w:p>
    <w:p w:rsidR="00183E89" w:rsidRPr="00DD5505" w:rsidRDefault="006B5E4E" w:rsidP="00DD5505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sz w:val="20"/>
          <w:szCs w:val="20"/>
          <w:lang w:val="da-DK"/>
        </w:rPr>
      </w:pPr>
      <w:r w:rsidRPr="00DD5505">
        <w:rPr>
          <w:rFonts w:ascii="Georgia" w:hAnsi="Georgia"/>
          <w:b/>
          <w:sz w:val="20"/>
          <w:szCs w:val="20"/>
          <w:lang w:val="da-DK"/>
        </w:rPr>
        <w:t>Andre omkostninger</w:t>
      </w:r>
      <w:r w:rsidRPr="00DD5505">
        <w:rPr>
          <w:rFonts w:ascii="Georgia" w:hAnsi="Georgia"/>
          <w:sz w:val="20"/>
          <w:szCs w:val="20"/>
          <w:lang w:val="da-DK"/>
        </w:rPr>
        <w:t xml:space="preserve">: Tilbudsgiver skal </w:t>
      </w:r>
      <w:r w:rsidR="003F3B75">
        <w:rPr>
          <w:rFonts w:ascii="Georgia" w:hAnsi="Georgia"/>
          <w:sz w:val="20"/>
          <w:szCs w:val="20"/>
          <w:lang w:val="da-DK"/>
        </w:rPr>
        <w:t xml:space="preserve">beskrive og </w:t>
      </w:r>
      <w:r w:rsidRPr="00DD5505">
        <w:rPr>
          <w:rFonts w:ascii="Georgia" w:hAnsi="Georgia"/>
          <w:sz w:val="20"/>
          <w:szCs w:val="20"/>
          <w:lang w:val="da-DK"/>
        </w:rPr>
        <w:t xml:space="preserve">angive eventuelle andre årlige omkostninger, der må forventes at </w:t>
      </w:r>
      <w:proofErr w:type="spellStart"/>
      <w:r w:rsidRPr="00DD5505">
        <w:rPr>
          <w:rFonts w:ascii="Georgia" w:hAnsi="Georgia"/>
          <w:sz w:val="20"/>
          <w:szCs w:val="20"/>
          <w:lang w:val="da-DK"/>
        </w:rPr>
        <w:t>påløbe</w:t>
      </w:r>
      <w:proofErr w:type="spellEnd"/>
      <w:r w:rsidRPr="00DD5505">
        <w:rPr>
          <w:rFonts w:ascii="Georgia" w:hAnsi="Georgia"/>
          <w:sz w:val="20"/>
          <w:szCs w:val="20"/>
          <w:lang w:val="da-DK"/>
        </w:rPr>
        <w:t xml:space="preserve"> ordregiver i fo</w:t>
      </w:r>
      <w:r w:rsidR="0072479C" w:rsidRPr="00DD5505">
        <w:rPr>
          <w:rFonts w:ascii="Georgia" w:hAnsi="Georgia"/>
          <w:sz w:val="20"/>
          <w:szCs w:val="20"/>
          <w:lang w:val="da-DK"/>
        </w:rPr>
        <w:t>rbindelse med porteføljeplejen</w:t>
      </w:r>
      <w:r w:rsidR="00FA2073">
        <w:rPr>
          <w:rFonts w:ascii="Georgia" w:hAnsi="Georgia"/>
          <w:sz w:val="20"/>
          <w:szCs w:val="20"/>
          <w:lang w:val="da-DK"/>
        </w:rPr>
        <w:t xml:space="preserve">. Såfremt det er muligt, skal Tilbudsgiver angive både en procentvis sats og omkostningskilde samt kontantværdi af omkostningen. </w:t>
      </w:r>
      <w:r w:rsidR="0072479C" w:rsidRPr="00DD5505">
        <w:rPr>
          <w:rFonts w:ascii="Georgia" w:hAnsi="Georgia"/>
          <w:sz w:val="20"/>
          <w:szCs w:val="20"/>
          <w:lang w:val="da-DK"/>
        </w:rPr>
        <w:t xml:space="preserve"> </w:t>
      </w:r>
    </w:p>
    <w:p w:rsidR="00183E89" w:rsidRPr="00183E89" w:rsidRDefault="00183E89" w:rsidP="00DD5505">
      <w:pPr>
        <w:pStyle w:val="ListParagraph"/>
        <w:ind w:left="426" w:hanging="426"/>
        <w:rPr>
          <w:rFonts w:ascii="Georgia" w:hAnsi="Georgia"/>
          <w:b/>
          <w:sz w:val="20"/>
          <w:szCs w:val="20"/>
          <w:lang w:val="da-DK"/>
        </w:rPr>
      </w:pPr>
    </w:p>
    <w:p w:rsidR="0072479C" w:rsidRPr="00A43D2B" w:rsidRDefault="00183E89" w:rsidP="00DD5505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Georgia" w:hAnsi="Georgia"/>
          <w:sz w:val="20"/>
          <w:szCs w:val="20"/>
          <w:lang w:val="da-DK"/>
        </w:rPr>
      </w:pPr>
      <w:r w:rsidRPr="00DD5505">
        <w:rPr>
          <w:rFonts w:ascii="Georgia" w:hAnsi="Georgia"/>
          <w:b/>
          <w:sz w:val="20"/>
          <w:szCs w:val="20"/>
          <w:lang w:val="da-DK"/>
        </w:rPr>
        <w:t>R</w:t>
      </w:r>
      <w:r w:rsidR="006B5E4E" w:rsidRPr="00DD5505">
        <w:rPr>
          <w:rFonts w:ascii="Georgia" w:hAnsi="Georgia"/>
          <w:b/>
          <w:sz w:val="20"/>
          <w:szCs w:val="20"/>
          <w:lang w:val="da-DK"/>
        </w:rPr>
        <w:t>ente for indestående på kontantkon</w:t>
      </w:r>
      <w:r w:rsidR="00711AB0" w:rsidRPr="00DD5505">
        <w:rPr>
          <w:rFonts w:ascii="Georgia" w:hAnsi="Georgia"/>
          <w:b/>
          <w:sz w:val="20"/>
          <w:szCs w:val="20"/>
          <w:lang w:val="da-DK"/>
        </w:rPr>
        <w:t>ti</w:t>
      </w:r>
      <w:r w:rsidR="00711AB0" w:rsidRPr="00DD5505">
        <w:rPr>
          <w:rFonts w:ascii="Georgia" w:hAnsi="Georgia"/>
          <w:sz w:val="20"/>
          <w:szCs w:val="20"/>
          <w:lang w:val="da-DK"/>
        </w:rPr>
        <w:t xml:space="preserve">: Tilbudsgiver skal </w:t>
      </w:r>
      <w:r w:rsidR="006B5E4E" w:rsidRPr="00DD5505">
        <w:rPr>
          <w:rFonts w:ascii="Georgia" w:hAnsi="Georgia"/>
          <w:sz w:val="20"/>
          <w:szCs w:val="20"/>
          <w:lang w:val="da-DK"/>
        </w:rPr>
        <w:t>angive den årlige rentesats for indestående på kontantkonti samt redegøre for</w:t>
      </w:r>
      <w:r w:rsidR="005F4581">
        <w:rPr>
          <w:rFonts w:ascii="Georgia" w:hAnsi="Georgia"/>
          <w:sz w:val="20"/>
          <w:szCs w:val="20"/>
          <w:lang w:val="da-DK"/>
        </w:rPr>
        <w:t>,</w:t>
      </w:r>
      <w:r w:rsidR="006B5E4E" w:rsidRPr="00DD5505">
        <w:rPr>
          <w:rFonts w:ascii="Georgia" w:hAnsi="Georgia"/>
          <w:sz w:val="20"/>
          <w:szCs w:val="20"/>
          <w:lang w:val="da-DK"/>
        </w:rPr>
        <w:t xml:space="preserve"> hvorledes denne rente er sammensat. Tilbudsgiver bedes så vidt muligt angive det forventede rentebeløb, der årligt vil </w:t>
      </w:r>
      <w:proofErr w:type="spellStart"/>
      <w:r w:rsidR="006B5E4E" w:rsidRPr="00DD5505">
        <w:rPr>
          <w:rFonts w:ascii="Georgia" w:hAnsi="Georgia"/>
          <w:sz w:val="20"/>
          <w:szCs w:val="20"/>
          <w:lang w:val="da-DK"/>
        </w:rPr>
        <w:t>påløbe</w:t>
      </w:r>
      <w:proofErr w:type="spellEnd"/>
      <w:r w:rsidR="006B5E4E" w:rsidRPr="00DD5505">
        <w:rPr>
          <w:rFonts w:ascii="Georgia" w:hAnsi="Georgia"/>
          <w:sz w:val="20"/>
          <w:szCs w:val="20"/>
          <w:lang w:val="da-DK"/>
        </w:rPr>
        <w:t xml:space="preserve"> kontantkonti. </w:t>
      </w:r>
      <w:r w:rsidR="0072479C" w:rsidRPr="00DD5505">
        <w:rPr>
          <w:rFonts w:ascii="Georgia" w:hAnsi="Georgia"/>
          <w:sz w:val="20"/>
          <w:szCs w:val="20"/>
          <w:lang w:val="da-DK"/>
        </w:rPr>
        <w:t>Det bemærkes, at rentesatsen ikke indgår i vurderi</w:t>
      </w:r>
      <w:r w:rsidRPr="00DD5505">
        <w:rPr>
          <w:rFonts w:ascii="Georgia" w:hAnsi="Georgia"/>
          <w:sz w:val="20"/>
          <w:szCs w:val="20"/>
          <w:lang w:val="da-DK"/>
        </w:rPr>
        <w:t>ngen af tilbuddets samlede pris.</w:t>
      </w:r>
    </w:p>
    <w:p w:rsidR="00324B9F" w:rsidRPr="00324B9F" w:rsidRDefault="00324B9F" w:rsidP="00D3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sectPr w:rsidR="00324B9F" w:rsidRPr="00324B9F" w:rsidSect="002F61EC">
      <w:foot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F4" w:rsidRDefault="00D172F4" w:rsidP="00612910">
      <w:pPr>
        <w:spacing w:after="0" w:line="240" w:lineRule="auto"/>
      </w:pPr>
      <w:r>
        <w:separator/>
      </w:r>
    </w:p>
  </w:endnote>
  <w:endnote w:type="continuationSeparator" w:id="0">
    <w:p w:rsidR="00D172F4" w:rsidRDefault="00D172F4" w:rsidP="0061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83404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6"/>
        <w:szCs w:val="16"/>
      </w:rPr>
    </w:sdtEndPr>
    <w:sdtContent>
      <w:p w:rsidR="00612910" w:rsidRPr="00612910" w:rsidRDefault="00612910">
        <w:pPr>
          <w:pStyle w:val="Footer"/>
          <w:jc w:val="right"/>
          <w:rPr>
            <w:rFonts w:asciiTheme="majorHAnsi" w:hAnsiTheme="majorHAnsi"/>
            <w:sz w:val="16"/>
            <w:szCs w:val="16"/>
          </w:rPr>
        </w:pPr>
        <w:r w:rsidRPr="00612910">
          <w:rPr>
            <w:rFonts w:asciiTheme="majorHAnsi" w:hAnsiTheme="majorHAnsi"/>
            <w:sz w:val="16"/>
            <w:szCs w:val="16"/>
          </w:rPr>
          <w:fldChar w:fldCharType="begin"/>
        </w:r>
        <w:r w:rsidRPr="00612910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612910">
          <w:rPr>
            <w:rFonts w:asciiTheme="majorHAnsi" w:hAnsiTheme="majorHAnsi"/>
            <w:sz w:val="16"/>
            <w:szCs w:val="16"/>
          </w:rPr>
          <w:fldChar w:fldCharType="separate"/>
        </w:r>
        <w:r w:rsidR="002F61EC">
          <w:rPr>
            <w:rFonts w:asciiTheme="majorHAnsi" w:hAnsiTheme="majorHAnsi"/>
            <w:noProof/>
            <w:sz w:val="16"/>
            <w:szCs w:val="16"/>
          </w:rPr>
          <w:t>3</w:t>
        </w:r>
        <w:r w:rsidRPr="00612910">
          <w:rPr>
            <w:rFonts w:asciiTheme="majorHAnsi" w:hAnsiTheme="majorHAnsi"/>
            <w:noProof/>
            <w:sz w:val="16"/>
            <w:szCs w:val="16"/>
          </w:rPr>
          <w:fldChar w:fldCharType="end"/>
        </w:r>
      </w:p>
    </w:sdtContent>
  </w:sdt>
  <w:p w:rsidR="00612910" w:rsidRDefault="00612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F4" w:rsidRDefault="00D172F4" w:rsidP="00612910">
      <w:pPr>
        <w:spacing w:after="0" w:line="240" w:lineRule="auto"/>
      </w:pPr>
      <w:r>
        <w:separator/>
      </w:r>
    </w:p>
  </w:footnote>
  <w:footnote w:type="continuationSeparator" w:id="0">
    <w:p w:rsidR="00D172F4" w:rsidRDefault="00D172F4" w:rsidP="0061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5787"/>
    <w:multiLevelType w:val="hybridMultilevel"/>
    <w:tmpl w:val="610E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7F27"/>
    <w:multiLevelType w:val="hybridMultilevel"/>
    <w:tmpl w:val="8F6E0752"/>
    <w:lvl w:ilvl="0" w:tplc="54768396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5ADC"/>
    <w:multiLevelType w:val="hybridMultilevel"/>
    <w:tmpl w:val="15605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25C03"/>
    <w:multiLevelType w:val="hybridMultilevel"/>
    <w:tmpl w:val="619CFAD0"/>
    <w:lvl w:ilvl="0" w:tplc="3F921336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71F84"/>
    <w:multiLevelType w:val="hybridMultilevel"/>
    <w:tmpl w:val="993CFB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8E7B5E"/>
    <w:multiLevelType w:val="hybridMultilevel"/>
    <w:tmpl w:val="2990E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C0303A"/>
    <w:multiLevelType w:val="hybridMultilevel"/>
    <w:tmpl w:val="71809E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09"/>
    <w:rsid w:val="000A502D"/>
    <w:rsid w:val="00121BDF"/>
    <w:rsid w:val="00183E89"/>
    <w:rsid w:val="00184660"/>
    <w:rsid w:val="002F61EC"/>
    <w:rsid w:val="00324B9F"/>
    <w:rsid w:val="003F3B75"/>
    <w:rsid w:val="005A7624"/>
    <w:rsid w:val="005F4581"/>
    <w:rsid w:val="00612910"/>
    <w:rsid w:val="006B5E4E"/>
    <w:rsid w:val="006E530A"/>
    <w:rsid w:val="00701695"/>
    <w:rsid w:val="00711AB0"/>
    <w:rsid w:val="0072479C"/>
    <w:rsid w:val="007544BE"/>
    <w:rsid w:val="00761FF1"/>
    <w:rsid w:val="007662C0"/>
    <w:rsid w:val="009E5EA5"/>
    <w:rsid w:val="00A43D2B"/>
    <w:rsid w:val="00A928B0"/>
    <w:rsid w:val="00AD3C11"/>
    <w:rsid w:val="00B24B1B"/>
    <w:rsid w:val="00B43561"/>
    <w:rsid w:val="00B61E74"/>
    <w:rsid w:val="00B80567"/>
    <w:rsid w:val="00B85909"/>
    <w:rsid w:val="00BB35AA"/>
    <w:rsid w:val="00BD5BD3"/>
    <w:rsid w:val="00C56A61"/>
    <w:rsid w:val="00C709C7"/>
    <w:rsid w:val="00D12C57"/>
    <w:rsid w:val="00D172F4"/>
    <w:rsid w:val="00D238F4"/>
    <w:rsid w:val="00D375A3"/>
    <w:rsid w:val="00D61816"/>
    <w:rsid w:val="00DD5505"/>
    <w:rsid w:val="00E352DB"/>
    <w:rsid w:val="00EE7CBC"/>
    <w:rsid w:val="00FA2073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E61FC-1E5E-49E3-ADCE-1869A164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181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530A"/>
    <w:rPr>
      <w:rFonts w:asciiTheme="majorHAnsi" w:eastAsiaTheme="majorEastAsia" w:hAnsiTheme="majorHAnsi" w:cstheme="majorBidi"/>
      <w:color w:val="7A1818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E53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4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10"/>
  </w:style>
  <w:style w:type="paragraph" w:styleId="Footer">
    <w:name w:val="footer"/>
    <w:basedOn w:val="Normal"/>
    <w:link w:val="FooterChar"/>
    <w:uiPriority w:val="99"/>
    <w:unhideWhenUsed/>
    <w:rsid w:val="0061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Burgundy">
      <a:dk1>
        <a:srgbClr val="000000"/>
      </a:dk1>
      <a:lt1>
        <a:srgbClr val="FFFFFF"/>
      </a:lt1>
      <a:dk2>
        <a:srgbClr val="A32020"/>
      </a:dk2>
      <a:lt2>
        <a:srgbClr val="FFFFFF"/>
      </a:lt2>
      <a:accent1>
        <a:srgbClr val="A32020"/>
      </a:accent1>
      <a:accent2>
        <a:srgbClr val="E0301E"/>
      </a:accent2>
      <a:accent3>
        <a:srgbClr val="602320"/>
      </a:accent3>
      <a:accent4>
        <a:srgbClr val="DB536A"/>
      </a:accent4>
      <a:accent5>
        <a:srgbClr val="DC6900"/>
      </a:accent5>
      <a:accent6>
        <a:srgbClr val="FFB600"/>
      </a:accent6>
      <a:hlink>
        <a:srgbClr val="A32020"/>
      </a:hlink>
      <a:folHlink>
        <a:srgbClr val="A32020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DKLSQ</dc:creator>
  <cp:keywords/>
  <dc:description/>
  <cp:lastModifiedBy>DKLSQ</cp:lastModifiedBy>
  <cp:revision>5</cp:revision>
  <cp:lastPrinted>2016-05-10T05:44:00Z</cp:lastPrinted>
  <dcterms:created xsi:type="dcterms:W3CDTF">2016-05-10T10:20:00Z</dcterms:created>
  <dcterms:modified xsi:type="dcterms:W3CDTF">2016-05-24T15:27:00Z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 Document Node Id">
    <vt:lpwstr>11746362</vt:lpwstr>
  </property>
  <property fmtid="{D5CDD505-2E9C-101B-9397-08002B2CF9AE}" pid="3" name="PwC Version Number">
    <vt:lpwstr>1</vt:lpwstr>
  </property>
</Properties>
</file>